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52D87" w14:textId="77777777" w:rsidR="003A7EDD" w:rsidRPr="001F0C5A" w:rsidRDefault="004A6AE7" w:rsidP="00122984">
      <w:pPr>
        <w:spacing w:after="0"/>
        <w:jc w:val="center"/>
        <w:rPr>
          <w:b/>
          <w:sz w:val="32"/>
          <w:szCs w:val="32"/>
        </w:rPr>
      </w:pPr>
      <w:r w:rsidRPr="001F0C5A">
        <w:rPr>
          <w:b/>
          <w:sz w:val="32"/>
          <w:szCs w:val="32"/>
        </w:rPr>
        <w:t>Documentation « taux de poursuite »</w:t>
      </w:r>
    </w:p>
    <w:p w14:paraId="06006D36" w14:textId="77777777" w:rsidR="00070C9E" w:rsidRDefault="00070C9E" w:rsidP="00122984">
      <w:pPr>
        <w:spacing w:after="0"/>
        <w:jc w:val="both"/>
      </w:pPr>
    </w:p>
    <w:p w14:paraId="596A69F0" w14:textId="77777777" w:rsidR="004A6AE7" w:rsidRPr="0036021A" w:rsidRDefault="004A6AE7" w:rsidP="00122984">
      <w:pPr>
        <w:spacing w:after="0"/>
        <w:jc w:val="both"/>
        <w:rPr>
          <w:b/>
          <w:color w:val="1F4E79" w:themeColor="accent1" w:themeShade="80"/>
        </w:rPr>
      </w:pPr>
      <w:r w:rsidRPr="0036021A">
        <w:rPr>
          <w:b/>
          <w:color w:val="1F4E79" w:themeColor="accent1" w:themeShade="80"/>
        </w:rPr>
        <w:t>Définition</w:t>
      </w:r>
    </w:p>
    <w:p w14:paraId="626EF44D" w14:textId="77777777" w:rsidR="0036021A" w:rsidRDefault="0036021A" w:rsidP="00122984">
      <w:pPr>
        <w:spacing w:after="0"/>
        <w:jc w:val="both"/>
      </w:pPr>
    </w:p>
    <w:p w14:paraId="559F1F30" w14:textId="77777777" w:rsidR="00E97590" w:rsidRDefault="00925ADF" w:rsidP="00122984">
      <w:pPr>
        <w:spacing w:after="0"/>
        <w:jc w:val="both"/>
      </w:pPr>
      <w:r>
        <w:t xml:space="preserve">Le taux de poursuite des néo-bacheliers dans l’enseignement supérieur se définit comme </w:t>
      </w:r>
      <w:r w:rsidR="0036021A">
        <w:t xml:space="preserve">le rapport entre le nombre de bacheliers </w:t>
      </w:r>
      <w:r w:rsidR="006A64F9">
        <w:t xml:space="preserve">de la session N (appelés néo-bacheliers) </w:t>
      </w:r>
      <w:r w:rsidR="0036021A">
        <w:t>poursuivant des études dans l’enseignement supérieur à la rentrée N</w:t>
      </w:r>
      <w:r w:rsidR="000F3660">
        <w:t>,</w:t>
      </w:r>
      <w:r w:rsidR="0036021A">
        <w:t xml:space="preserve"> sur le nombre total de bacheliers de la session N. </w:t>
      </w:r>
    </w:p>
    <w:p w14:paraId="547C5FE2" w14:textId="77777777" w:rsidR="0036021A" w:rsidRDefault="0036021A" w:rsidP="00122984">
      <w:pPr>
        <w:spacing w:after="0"/>
        <w:jc w:val="both"/>
      </w:pPr>
    </w:p>
    <w:p w14:paraId="42774D13" w14:textId="77777777" w:rsidR="0036021A" w:rsidRPr="0036021A" w:rsidRDefault="0036021A" w:rsidP="00122984">
      <w:pPr>
        <w:spacing w:after="0"/>
        <w:jc w:val="both"/>
        <w:rPr>
          <w:rFonts w:eastAsiaTheme="minorEastAsia"/>
        </w:rPr>
      </w:pPr>
      <m:oMathPara>
        <m:oMath>
          <m:r>
            <w:rPr>
              <w:rFonts w:ascii="Cambria Math" w:hAnsi="Cambria Math"/>
            </w:rPr>
            <m:t>taux de poursuite=</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bacheliers poursuivants</m:t>
                  </m:r>
                </m:sub>
              </m:sSub>
            </m:num>
            <m:den>
              <m:sSub>
                <m:sSubPr>
                  <m:ctrlPr>
                    <w:rPr>
                      <w:rFonts w:ascii="Cambria Math" w:hAnsi="Cambria Math"/>
                      <w:i/>
                    </w:rPr>
                  </m:ctrlPr>
                </m:sSubPr>
                <m:e>
                  <m:r>
                    <w:rPr>
                      <w:rFonts w:ascii="Cambria Math" w:hAnsi="Cambria Math"/>
                    </w:rPr>
                    <m:t>N</m:t>
                  </m:r>
                </m:e>
                <m:sub>
                  <m:r>
                    <w:rPr>
                      <w:rFonts w:ascii="Cambria Math" w:hAnsi="Cambria Math"/>
                    </w:rPr>
                    <m:t>bacheliers</m:t>
                  </m:r>
                </m:sub>
              </m:sSub>
            </m:den>
          </m:f>
        </m:oMath>
      </m:oMathPara>
    </w:p>
    <w:p w14:paraId="75D4A1EC" w14:textId="77777777" w:rsidR="0036021A" w:rsidRDefault="0036021A" w:rsidP="00122984">
      <w:pPr>
        <w:spacing w:after="0"/>
        <w:jc w:val="both"/>
        <w:rPr>
          <w:rFonts w:eastAsiaTheme="minorEastAsia"/>
        </w:rPr>
      </w:pPr>
    </w:p>
    <w:p w14:paraId="7954DAA2" w14:textId="77777777" w:rsidR="006A64F9" w:rsidRPr="0036021A" w:rsidRDefault="006A64F9" w:rsidP="00122984">
      <w:pPr>
        <w:spacing w:after="0"/>
        <w:jc w:val="both"/>
        <w:rPr>
          <w:rFonts w:eastAsiaTheme="minorEastAsia"/>
        </w:rPr>
      </w:pPr>
      <w:r>
        <w:rPr>
          <w:rFonts w:eastAsiaTheme="minorEastAsia"/>
        </w:rPr>
        <w:t xml:space="preserve">Cet indicateur peut être décliné </w:t>
      </w:r>
      <w:r w:rsidR="000F3660">
        <w:rPr>
          <w:rFonts w:eastAsiaTheme="minorEastAsia"/>
        </w:rPr>
        <w:t>selon les caractéristiques des étudiants, les caractéristiques de leur baccalauréat ou de leur formation post-bac, le type d’établissements fréquentés, … En pratique, ce fichier permet de calculer cet indicateur par académie d’obtention du baccalauréat</w:t>
      </w:r>
      <w:r>
        <w:rPr>
          <w:rFonts w:eastAsiaTheme="minorEastAsia"/>
        </w:rPr>
        <w:t xml:space="preserve">, par </w:t>
      </w:r>
      <w:r w:rsidR="000F3660">
        <w:rPr>
          <w:rFonts w:eastAsiaTheme="minorEastAsia"/>
        </w:rPr>
        <w:t xml:space="preserve">grande </w:t>
      </w:r>
      <w:r>
        <w:rPr>
          <w:rFonts w:eastAsiaTheme="minorEastAsia"/>
        </w:rPr>
        <w:t>série du bac</w:t>
      </w:r>
      <w:r w:rsidR="000F3660">
        <w:rPr>
          <w:rFonts w:eastAsiaTheme="minorEastAsia"/>
        </w:rPr>
        <w:t>calauréat, par genre</w:t>
      </w:r>
      <w:r w:rsidR="00FA6116">
        <w:rPr>
          <w:rFonts w:eastAsiaTheme="minorEastAsia"/>
        </w:rPr>
        <w:t>,</w:t>
      </w:r>
      <w:r w:rsidR="000F3660">
        <w:rPr>
          <w:rFonts w:eastAsiaTheme="minorEastAsia"/>
        </w:rPr>
        <w:t xml:space="preserve"> </w:t>
      </w:r>
      <w:r>
        <w:rPr>
          <w:rFonts w:eastAsiaTheme="minorEastAsia"/>
        </w:rPr>
        <w:t>selon la filière de l’</w:t>
      </w:r>
      <w:r w:rsidR="000F3660">
        <w:rPr>
          <w:rFonts w:eastAsiaTheme="minorEastAsia"/>
        </w:rPr>
        <w:t>enseignement supérieur</w:t>
      </w:r>
      <w:r w:rsidR="00FA6116">
        <w:rPr>
          <w:rFonts w:eastAsiaTheme="minorEastAsia"/>
        </w:rPr>
        <w:t xml:space="preserve"> et le secteur de l’établissement de l’enseignement supérieur</w:t>
      </w:r>
      <w:r>
        <w:rPr>
          <w:rFonts w:eastAsiaTheme="minorEastAsia"/>
        </w:rPr>
        <w:t>.</w:t>
      </w:r>
      <w:r w:rsidR="00FA6116">
        <w:rPr>
          <w:rFonts w:eastAsiaTheme="minorEastAsia"/>
        </w:rPr>
        <w:t xml:space="preserve"> </w:t>
      </w:r>
      <w:bookmarkStart w:id="0" w:name="_GoBack"/>
      <w:bookmarkEnd w:id="0"/>
    </w:p>
    <w:p w14:paraId="47547B74" w14:textId="77777777" w:rsidR="00925ADF" w:rsidRDefault="00925ADF" w:rsidP="00122984">
      <w:pPr>
        <w:spacing w:after="0"/>
        <w:jc w:val="both"/>
      </w:pPr>
    </w:p>
    <w:p w14:paraId="14C90B3E" w14:textId="77777777" w:rsidR="004A6AE7" w:rsidRPr="0036021A" w:rsidRDefault="004A6AE7" w:rsidP="00122984">
      <w:pPr>
        <w:spacing w:after="0"/>
        <w:jc w:val="both"/>
        <w:rPr>
          <w:b/>
          <w:color w:val="1F4E79" w:themeColor="accent1" w:themeShade="80"/>
        </w:rPr>
      </w:pPr>
      <w:r w:rsidRPr="0036021A">
        <w:rPr>
          <w:b/>
          <w:color w:val="1F4E79" w:themeColor="accent1" w:themeShade="80"/>
        </w:rPr>
        <w:t>Champs</w:t>
      </w:r>
    </w:p>
    <w:p w14:paraId="7FC0F940" w14:textId="77777777" w:rsidR="0036021A" w:rsidRDefault="0036021A" w:rsidP="00122984">
      <w:pPr>
        <w:spacing w:after="0"/>
        <w:jc w:val="both"/>
      </w:pPr>
    </w:p>
    <w:p w14:paraId="29270124" w14:textId="6D73F867" w:rsidR="00925ADF" w:rsidRDefault="00925ADF" w:rsidP="00122984">
      <w:pPr>
        <w:spacing w:after="0"/>
        <w:jc w:val="both"/>
      </w:pPr>
      <w:r>
        <w:t xml:space="preserve">Au niveau géographique, </w:t>
      </w:r>
      <w:r w:rsidR="00AF6746">
        <w:t>le champ est France métropolitaine + DROM (hors Mayotte en 2010), aussi bien pour les établissements de l’enseignement supérieur que pour l’académie d’obtention du baccalauréat. Les établissements proposant des formations dans l’enseignement supérieur hors du champ ne sont donc pas comptabilisés, et les étudiants ayant obtenu leur baccalauréat dans les COM ou à l’étranger ne rentrent pas non plus dans le champ</w:t>
      </w:r>
      <w:r w:rsidR="00FA6116">
        <w:t xml:space="preserve"> de ce fichier</w:t>
      </w:r>
      <w:r w:rsidR="00AF6746">
        <w:t xml:space="preserve">. </w:t>
      </w:r>
    </w:p>
    <w:p w14:paraId="150D8946" w14:textId="4357EDAA" w:rsidR="00807A3B" w:rsidRDefault="00807A3B" w:rsidP="00122984">
      <w:pPr>
        <w:spacing w:after="0"/>
        <w:jc w:val="both"/>
      </w:pPr>
    </w:p>
    <w:p w14:paraId="1F45652E" w14:textId="4CE2D39B" w:rsidR="00807A3B" w:rsidRDefault="00807A3B" w:rsidP="00122984">
      <w:pPr>
        <w:spacing w:after="0"/>
        <w:jc w:val="both"/>
      </w:pPr>
      <w:r>
        <w:t>Au 1</w:t>
      </w:r>
      <w:r w:rsidRPr="00807A3B">
        <w:rPr>
          <w:vertAlign w:val="superscript"/>
        </w:rPr>
        <w:t>er</w:t>
      </w:r>
      <w:r>
        <w:t xml:space="preserve"> janvier 2020, les académies de Caen et Rouen ont fusionné pour n’en former qu’une, l’académie de Normandie. Afin d’harmoniser les notations sur l’ensemble du fichier, cette fusion a été appliquée sur l’ensemble de la période couverte et donc depuis 2010. S’il est nécessaire de travailler à l’échelle des anciennes académies, un fichier complémentaire contenant les mêmes données pour les académies de Caen et Rouen de 2010 à 2018 est disponible au téléchargement. </w:t>
      </w:r>
    </w:p>
    <w:p w14:paraId="58638357" w14:textId="77777777" w:rsidR="00925ADF" w:rsidRDefault="00925ADF" w:rsidP="00122984">
      <w:pPr>
        <w:spacing w:after="0"/>
        <w:jc w:val="both"/>
      </w:pPr>
    </w:p>
    <w:p w14:paraId="7CB28275" w14:textId="28AEF0F6" w:rsidR="00AF6746" w:rsidRDefault="00AF6746" w:rsidP="00122984">
      <w:pPr>
        <w:spacing w:after="0"/>
        <w:jc w:val="both"/>
      </w:pPr>
      <w:r>
        <w:t>Au niveau des formations, tous les établissements appartenant au champ géographique et d</w:t>
      </w:r>
      <w:r w:rsidR="00F8791A">
        <w:t>ont l</w:t>
      </w:r>
      <w:r>
        <w:t xml:space="preserve">es informations </w:t>
      </w:r>
      <w:r w:rsidR="00F8791A">
        <w:t xml:space="preserve">remontent </w:t>
      </w:r>
      <w:r>
        <w:t xml:space="preserve">au SIES </w:t>
      </w:r>
      <w:r w:rsidR="00F8791A">
        <w:t xml:space="preserve">(directement ou indirectement) </w:t>
      </w:r>
      <w:r>
        <w:t>sont pris en compte.</w:t>
      </w:r>
      <w:r w:rsidR="00B15343">
        <w:t xml:space="preserve"> Cela comprend les universités (y compris </w:t>
      </w:r>
      <w:r>
        <w:t>IUT</w:t>
      </w:r>
      <w:r w:rsidR="00B15343">
        <w:t>)</w:t>
      </w:r>
      <w:r>
        <w:t>, les CPGE, les STS (y compris par apprentissage, y compris diplômes comptables, classes passerelles, …), les écoles de commerce, les écoles d’ingénieur</w:t>
      </w:r>
      <w:r w:rsidR="00122984">
        <w:t>s, les établissements d’enseignement universitaire privés, les grands établissements, les formations artistiques et culturelles, les formations paramédicales et sociales</w:t>
      </w:r>
      <w:r w:rsidR="009E0753">
        <w:t>, les classes préparatoires à l’enseignement supérieur (CPES)</w:t>
      </w:r>
      <w:r w:rsidR="00122984">
        <w:t xml:space="preserve"> ainsi que les autres écoles et formations répondant via les enquêtes 26 et 26bis (principalement école de journalisme, d’architecture, </w:t>
      </w:r>
      <w:r w:rsidR="004F1FFE" w:rsidRPr="004F1FFE">
        <w:t xml:space="preserve">écoles d'ingénieur non habilitées, écoles juridiques, écoles d'administration </w:t>
      </w:r>
      <w:r w:rsidR="00122984">
        <w:t xml:space="preserve">…). </w:t>
      </w:r>
    </w:p>
    <w:p w14:paraId="6743CB3F" w14:textId="77777777" w:rsidR="00AF6746" w:rsidRDefault="00AF6746" w:rsidP="00122984">
      <w:pPr>
        <w:spacing w:after="0"/>
        <w:jc w:val="both"/>
      </w:pPr>
    </w:p>
    <w:p w14:paraId="5A311564" w14:textId="77777777" w:rsidR="00736B58" w:rsidRPr="00736B58" w:rsidRDefault="00736B58" w:rsidP="00122984">
      <w:pPr>
        <w:spacing w:after="0"/>
        <w:jc w:val="both"/>
        <w:rPr>
          <w:b/>
          <w:color w:val="1F4E79" w:themeColor="accent1" w:themeShade="80"/>
        </w:rPr>
      </w:pPr>
      <w:r w:rsidRPr="00736B58">
        <w:rPr>
          <w:b/>
          <w:color w:val="1F4E79" w:themeColor="accent1" w:themeShade="80"/>
        </w:rPr>
        <w:t xml:space="preserve">Sources </w:t>
      </w:r>
    </w:p>
    <w:p w14:paraId="280E9225" w14:textId="77777777" w:rsidR="00736B58" w:rsidRDefault="00736B58" w:rsidP="00122984">
      <w:pPr>
        <w:spacing w:after="0"/>
        <w:jc w:val="both"/>
      </w:pPr>
    </w:p>
    <w:p w14:paraId="52094FBC" w14:textId="297AE95B" w:rsidR="00736B58" w:rsidRDefault="00E8770E" w:rsidP="00122984">
      <w:pPr>
        <w:spacing w:after="0"/>
        <w:jc w:val="both"/>
      </w:pPr>
      <w:r w:rsidRPr="001B6F12">
        <w:rPr>
          <w:b/>
        </w:rPr>
        <w:t>Pour les néo-bacheliers poursuivants</w:t>
      </w:r>
      <w:r>
        <w:t xml:space="preserve"> : </w:t>
      </w:r>
      <w:r w:rsidR="00736B58">
        <w:t xml:space="preserve">SIES-MESRI, Système d’information SISE, enquêtes menées par le SIES sur les </w:t>
      </w:r>
      <w:r w:rsidR="004F1FFE">
        <w:t xml:space="preserve">universités et établissements assimilés, les </w:t>
      </w:r>
      <w:r w:rsidR="00736B58">
        <w:t>écoles d’ingénieurs</w:t>
      </w:r>
      <w:r w:rsidR="004F1FFE">
        <w:t xml:space="preserve"> et de commerce</w:t>
      </w:r>
      <w:r w:rsidR="00736B58">
        <w:t xml:space="preserve">, </w:t>
      </w:r>
      <w:r w:rsidR="004F1FFE">
        <w:t>les écoles artistiques et culturelles, et sur d’autres</w:t>
      </w:r>
      <w:r w:rsidR="00736B58">
        <w:t xml:space="preserve"> établissements d’enseignement supérieur non </w:t>
      </w:r>
      <w:r w:rsidR="00736B58">
        <w:lastRenderedPageBreak/>
        <w:t>rattachés aux universités ; données sur les STS</w:t>
      </w:r>
      <w:r w:rsidR="004F1FFE">
        <w:t>,</w:t>
      </w:r>
      <w:r w:rsidR="00736B58">
        <w:t xml:space="preserve"> les CPGE</w:t>
      </w:r>
      <w:r w:rsidR="004F1FFE">
        <w:t xml:space="preserve"> et les apprentis en STS</w:t>
      </w:r>
      <w:r w:rsidR="00736B58">
        <w:t xml:space="preserve"> collectées par la DEPP ; enquêtes spécifiques aux ministères en charge de l’Agriculture, de la Santé</w:t>
      </w:r>
      <w:r w:rsidR="004F1FFE">
        <w:t xml:space="preserve"> et</w:t>
      </w:r>
      <w:r w:rsidR="00736B58">
        <w:t xml:space="preserve"> des Affaires sociales.</w:t>
      </w:r>
    </w:p>
    <w:p w14:paraId="6B5718E7" w14:textId="076355C0" w:rsidR="00E8770E" w:rsidRDefault="00E8770E" w:rsidP="00122984">
      <w:pPr>
        <w:spacing w:after="0"/>
        <w:jc w:val="both"/>
      </w:pPr>
    </w:p>
    <w:p w14:paraId="08DD55BC" w14:textId="46798AC6" w:rsidR="00E8770E" w:rsidRDefault="00E8770E" w:rsidP="00122984">
      <w:pPr>
        <w:spacing w:after="0"/>
        <w:jc w:val="both"/>
      </w:pPr>
      <w:r w:rsidRPr="001B6F12">
        <w:rPr>
          <w:b/>
        </w:rPr>
        <w:t>Pour les bacheliers</w:t>
      </w:r>
      <w:r>
        <w:t xml:space="preserve"> : </w:t>
      </w:r>
      <w:r w:rsidRPr="00E8770E">
        <w:t>DEPP, Systèmes d’information Océan, Cyclades ; ministère chargé de l’Agriculture.</w:t>
      </w:r>
    </w:p>
    <w:p w14:paraId="4B50F06F" w14:textId="77777777" w:rsidR="00F8791A" w:rsidRDefault="00F8791A" w:rsidP="00122984">
      <w:pPr>
        <w:spacing w:after="0"/>
        <w:jc w:val="both"/>
      </w:pPr>
    </w:p>
    <w:p w14:paraId="7B24C2A3" w14:textId="60B64B2D" w:rsidR="004A6AE7" w:rsidRDefault="004A6AE7" w:rsidP="00122984">
      <w:pPr>
        <w:spacing w:after="0"/>
        <w:jc w:val="both"/>
        <w:rPr>
          <w:b/>
          <w:color w:val="1F4E79" w:themeColor="accent1" w:themeShade="80"/>
        </w:rPr>
      </w:pPr>
      <w:r w:rsidRPr="0036021A">
        <w:rPr>
          <w:b/>
          <w:color w:val="1F4E79" w:themeColor="accent1" w:themeShade="80"/>
        </w:rPr>
        <w:t>Variables</w:t>
      </w:r>
    </w:p>
    <w:p w14:paraId="6F3687DB" w14:textId="77777777" w:rsidR="00BD1E4B" w:rsidRDefault="00BD1E4B" w:rsidP="00122984">
      <w:pPr>
        <w:spacing w:after="0"/>
        <w:jc w:val="both"/>
      </w:pPr>
    </w:p>
    <w:p w14:paraId="0C377598" w14:textId="0869E9B3" w:rsidR="009D2414" w:rsidRDefault="00384EF0" w:rsidP="00122984">
      <w:pPr>
        <w:spacing w:after="0"/>
        <w:jc w:val="both"/>
      </w:pPr>
      <w:r w:rsidRPr="00504425">
        <w:t xml:space="preserve">Les </w:t>
      </w:r>
      <w:r w:rsidRPr="00504425">
        <w:rPr>
          <w:b/>
        </w:rPr>
        <w:t>effectifs</w:t>
      </w:r>
      <w:r w:rsidRPr="00504425">
        <w:t xml:space="preserve"> sont les bacheliers </w:t>
      </w:r>
      <w:r w:rsidR="000F2F8C">
        <w:t>et</w:t>
      </w:r>
      <w:r w:rsidRPr="00504425">
        <w:t xml:space="preserve"> </w:t>
      </w:r>
      <w:r w:rsidR="000F2F8C">
        <w:t>l</w:t>
      </w:r>
      <w:r w:rsidRPr="00504425">
        <w:t>es néo</w:t>
      </w:r>
      <w:r w:rsidR="000F2F8C">
        <w:t>-</w:t>
      </w:r>
      <w:r w:rsidRPr="00504425">
        <w:t xml:space="preserve">bacheliers </w:t>
      </w:r>
      <w:r w:rsidR="000F2F8C">
        <w:t>poursuivant</w:t>
      </w:r>
      <w:r w:rsidR="00FB4748">
        <w:t xml:space="preserve"> dans un établissement d’enseignement supérieur en France métropolitaine + DROM</w:t>
      </w:r>
      <w:r w:rsidR="00666C9B">
        <w:t>,</w:t>
      </w:r>
      <w:r w:rsidR="000F2F8C">
        <w:t xml:space="preserve"> par filière de formation</w:t>
      </w:r>
      <w:r w:rsidRPr="00504425">
        <w:t xml:space="preserve"> </w:t>
      </w:r>
      <w:r w:rsidR="00FB4748">
        <w:t>et</w:t>
      </w:r>
      <w:r w:rsidR="009E0753">
        <w:t xml:space="preserve"> secteur </w:t>
      </w:r>
      <w:r w:rsidR="00666C9B">
        <w:t xml:space="preserve">d’établissement </w:t>
      </w:r>
      <w:r w:rsidR="009D2414">
        <w:t>(public/privé). Une différenciation est également faite selon</w:t>
      </w:r>
      <w:r w:rsidR="009E0753" w:rsidRPr="009E0753">
        <w:t xml:space="preserve"> l’académie dans laquelle ils sont inscrits dans le supérieur</w:t>
      </w:r>
      <w:r w:rsidR="009D2414">
        <w:t xml:space="preserve">, suivant qu’elle soit la même que celle dans laquelle ils ont </w:t>
      </w:r>
      <w:r w:rsidR="00161698">
        <w:t>obtenu</w:t>
      </w:r>
      <w:r w:rsidR="009D2414">
        <w:t xml:space="preserve"> leur baccalauréat ou non</w:t>
      </w:r>
      <w:r w:rsidR="009E0753">
        <w:t>.</w:t>
      </w:r>
    </w:p>
    <w:p w14:paraId="7C1F7176" w14:textId="77777777" w:rsidR="00246446" w:rsidRDefault="00246446" w:rsidP="00122984">
      <w:pPr>
        <w:spacing w:after="0"/>
        <w:jc w:val="both"/>
      </w:pPr>
    </w:p>
    <w:tbl>
      <w:tblPr>
        <w:tblStyle w:val="TableauGrille4-Accentuation5"/>
        <w:tblW w:w="5000" w:type="pct"/>
        <w:tblLook w:val="0420" w:firstRow="1" w:lastRow="0" w:firstColumn="0" w:lastColumn="0" w:noHBand="0" w:noVBand="1"/>
      </w:tblPr>
      <w:tblGrid>
        <w:gridCol w:w="9062"/>
      </w:tblGrid>
      <w:tr w:rsidR="00246446" w:rsidRPr="007F73FB" w14:paraId="7CFB9F0B" w14:textId="77777777" w:rsidTr="00246446">
        <w:trPr>
          <w:cnfStyle w:val="100000000000" w:firstRow="1" w:lastRow="0" w:firstColumn="0" w:lastColumn="0" w:oddVBand="0" w:evenVBand="0" w:oddHBand="0" w:evenHBand="0" w:firstRowFirstColumn="0" w:firstRowLastColumn="0" w:lastRowFirstColumn="0" w:lastRowLastColumn="0"/>
          <w:trHeight w:val="255"/>
        </w:trPr>
        <w:tc>
          <w:tcPr>
            <w:tcW w:w="5000" w:type="pct"/>
            <w:noWrap/>
            <w:hideMark/>
          </w:tcPr>
          <w:p w14:paraId="2F80D86D" w14:textId="577CF48E" w:rsidR="00246446" w:rsidRPr="007F73FB" w:rsidRDefault="00246446" w:rsidP="007F73FB">
            <w:pPr>
              <w:rPr>
                <w:rFonts w:ascii="Calibri" w:eastAsia="Times New Roman" w:hAnsi="Calibri" w:cs="Calibri"/>
                <w:szCs w:val="20"/>
                <w:lang w:eastAsia="fr-FR"/>
              </w:rPr>
            </w:pPr>
            <w:r w:rsidRPr="007F73FB">
              <w:rPr>
                <w:rFonts w:ascii="Calibri" w:eastAsia="Times New Roman" w:hAnsi="Calibri" w:cs="Calibri"/>
                <w:szCs w:val="20"/>
                <w:lang w:eastAsia="fr-FR"/>
              </w:rPr>
              <w:t>Liste des variables</w:t>
            </w:r>
          </w:p>
        </w:tc>
      </w:tr>
      <w:tr w:rsidR="00246446" w:rsidRPr="00A97B79" w14:paraId="31D9A9D2"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1FCA6036"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Nombre total de bacheliers</w:t>
            </w:r>
          </w:p>
        </w:tc>
      </w:tr>
      <w:tr w:rsidR="00246446" w:rsidRPr="00A97B79" w14:paraId="49CEFF9F" w14:textId="77777777" w:rsidTr="00246446">
        <w:trPr>
          <w:trHeight w:val="255"/>
        </w:trPr>
        <w:tc>
          <w:tcPr>
            <w:tcW w:w="5000" w:type="pct"/>
            <w:noWrap/>
            <w:hideMark/>
          </w:tcPr>
          <w:p w14:paraId="79479293" w14:textId="16DB86C3"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à l'université</w:t>
            </w:r>
            <w:r w:rsidR="00B15343">
              <w:rPr>
                <w:rFonts w:ascii="Calibri" w:eastAsia="Times New Roman" w:hAnsi="Calibri" w:cs="Calibri"/>
                <w:color w:val="000000"/>
                <w:sz w:val="20"/>
                <w:szCs w:val="20"/>
                <w:lang w:eastAsia="fr-FR"/>
              </w:rPr>
              <w:t xml:space="preserve"> (hors IUT)</w:t>
            </w:r>
            <w:r w:rsidRPr="00A97B79">
              <w:rPr>
                <w:rFonts w:ascii="Calibri" w:eastAsia="Times New Roman" w:hAnsi="Calibri" w:cs="Calibri"/>
                <w:color w:val="000000"/>
                <w:sz w:val="20"/>
                <w:szCs w:val="20"/>
                <w:lang w:eastAsia="fr-FR"/>
              </w:rPr>
              <w:t xml:space="preserve"> dans une académie différente de celle d'obtention de leur baccalauréat</w:t>
            </w:r>
          </w:p>
        </w:tc>
      </w:tr>
      <w:tr w:rsidR="00246446" w:rsidRPr="00A97B79" w14:paraId="2A75E4DB"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710D68AF" w14:textId="61549E68"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à l'université</w:t>
            </w:r>
            <w:r w:rsidR="00B15343">
              <w:rPr>
                <w:rFonts w:ascii="Calibri" w:eastAsia="Times New Roman" w:hAnsi="Calibri" w:cs="Calibri"/>
                <w:color w:val="000000"/>
                <w:sz w:val="20"/>
                <w:szCs w:val="20"/>
                <w:lang w:eastAsia="fr-FR"/>
              </w:rPr>
              <w:t xml:space="preserve"> (hors IUT)</w:t>
            </w:r>
            <w:r w:rsidRPr="00A97B79">
              <w:rPr>
                <w:rFonts w:ascii="Calibri" w:eastAsia="Times New Roman" w:hAnsi="Calibri" w:cs="Calibri"/>
                <w:color w:val="000000"/>
                <w:sz w:val="20"/>
                <w:szCs w:val="20"/>
                <w:lang w:eastAsia="fr-FR"/>
              </w:rPr>
              <w:t xml:space="preserve"> dans la même académie que celle d'obtention de leur baccalauréat</w:t>
            </w:r>
          </w:p>
        </w:tc>
      </w:tr>
      <w:tr w:rsidR="00246446" w:rsidRPr="00A97B79" w14:paraId="1C19381D" w14:textId="77777777" w:rsidTr="00246446">
        <w:trPr>
          <w:trHeight w:val="255"/>
        </w:trPr>
        <w:tc>
          <w:tcPr>
            <w:tcW w:w="5000" w:type="pct"/>
            <w:noWrap/>
            <w:hideMark/>
          </w:tcPr>
          <w:p w14:paraId="3C1C1332"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en IUT dans une académie différente de celle d'obtention de leur baccalauréat</w:t>
            </w:r>
          </w:p>
        </w:tc>
      </w:tr>
      <w:tr w:rsidR="00246446" w:rsidRPr="00A97B79" w14:paraId="664A6BF7"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6E9BB3B7"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en IUT dans la même académie que celle d'obtention de leur baccalauréat</w:t>
            </w:r>
          </w:p>
        </w:tc>
      </w:tr>
      <w:tr w:rsidR="00246446" w:rsidRPr="00A97B79" w14:paraId="398AF122" w14:textId="77777777" w:rsidTr="00246446">
        <w:trPr>
          <w:trHeight w:val="255"/>
        </w:trPr>
        <w:tc>
          <w:tcPr>
            <w:tcW w:w="5000" w:type="pct"/>
            <w:noWrap/>
            <w:hideMark/>
          </w:tcPr>
          <w:p w14:paraId="79EDF989"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CPGE du secteur privé dans une académie différente de celle d'obtention de leur baccalauréat</w:t>
            </w:r>
          </w:p>
        </w:tc>
      </w:tr>
      <w:tr w:rsidR="00246446" w:rsidRPr="00A97B79" w14:paraId="1DEE9E52"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2C0D8686"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CPGE du secteur privé dans la même académie que celle d'obtention de leur baccalauréat</w:t>
            </w:r>
          </w:p>
        </w:tc>
      </w:tr>
      <w:tr w:rsidR="00246446" w:rsidRPr="00A97B79" w14:paraId="62E4B710" w14:textId="77777777" w:rsidTr="00246446">
        <w:trPr>
          <w:trHeight w:val="255"/>
        </w:trPr>
        <w:tc>
          <w:tcPr>
            <w:tcW w:w="5000" w:type="pct"/>
            <w:noWrap/>
            <w:hideMark/>
          </w:tcPr>
          <w:p w14:paraId="36908FAD"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CPGE du secteur public dans une académie différente de celle d'obtention de leur baccalauréat</w:t>
            </w:r>
          </w:p>
        </w:tc>
      </w:tr>
      <w:tr w:rsidR="00246446" w:rsidRPr="00A97B79" w14:paraId="4E576517"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3F30CDE3"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CPGE du secteur public dans la même académie que celle d'obtention de leur baccalauréat</w:t>
            </w:r>
          </w:p>
        </w:tc>
      </w:tr>
      <w:tr w:rsidR="00246446" w:rsidRPr="00A97B79" w14:paraId="163A856F" w14:textId="77777777" w:rsidTr="00246446">
        <w:trPr>
          <w:trHeight w:val="255"/>
        </w:trPr>
        <w:tc>
          <w:tcPr>
            <w:tcW w:w="5000" w:type="pct"/>
            <w:noWrap/>
            <w:hideMark/>
          </w:tcPr>
          <w:p w14:paraId="3FAACB00"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en STS (secteur non renseigné</w:t>
            </w:r>
            <w:r>
              <w:rPr>
                <w:rFonts w:ascii="Calibri" w:eastAsia="Times New Roman" w:hAnsi="Calibri" w:cs="Calibri"/>
                <w:color w:val="000000"/>
                <w:sz w:val="20"/>
                <w:szCs w:val="20"/>
                <w:lang w:eastAsia="fr-FR"/>
              </w:rPr>
              <w:t>, principalement pour les apprentis</w:t>
            </w:r>
            <w:r w:rsidRPr="00A97B79">
              <w:rPr>
                <w:rFonts w:ascii="Calibri" w:eastAsia="Times New Roman" w:hAnsi="Calibri" w:cs="Calibri"/>
                <w:color w:val="000000"/>
                <w:sz w:val="20"/>
                <w:szCs w:val="20"/>
                <w:lang w:eastAsia="fr-FR"/>
              </w:rPr>
              <w:t>) dans une académie différente de celle d'obtention de leur baccalauréat</w:t>
            </w:r>
          </w:p>
        </w:tc>
      </w:tr>
      <w:tr w:rsidR="00246446" w:rsidRPr="00A97B79" w14:paraId="43BA0B48"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36D92700"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en STS (secteur non renseigné</w:t>
            </w:r>
            <w:r>
              <w:rPr>
                <w:rFonts w:ascii="Calibri" w:eastAsia="Times New Roman" w:hAnsi="Calibri" w:cs="Calibri"/>
                <w:color w:val="000000"/>
                <w:sz w:val="20"/>
                <w:szCs w:val="20"/>
                <w:lang w:eastAsia="fr-FR"/>
              </w:rPr>
              <w:t>, principalement pour les apprentis</w:t>
            </w:r>
            <w:r w:rsidRPr="00A97B79">
              <w:rPr>
                <w:rFonts w:ascii="Calibri" w:eastAsia="Times New Roman" w:hAnsi="Calibri" w:cs="Calibri"/>
                <w:color w:val="000000"/>
                <w:sz w:val="20"/>
                <w:szCs w:val="20"/>
                <w:lang w:eastAsia="fr-FR"/>
              </w:rPr>
              <w:t>) dans la même académie que celle d'obtention de leur baccalauréat</w:t>
            </w:r>
          </w:p>
        </w:tc>
      </w:tr>
      <w:tr w:rsidR="00246446" w:rsidRPr="00A97B79" w14:paraId="296F3D3D" w14:textId="77777777" w:rsidTr="00246446">
        <w:trPr>
          <w:trHeight w:val="255"/>
        </w:trPr>
        <w:tc>
          <w:tcPr>
            <w:tcW w:w="5000" w:type="pct"/>
            <w:noWrap/>
            <w:hideMark/>
          </w:tcPr>
          <w:p w14:paraId="3385A748"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en STS dans le secteur privé dans une académie différente de celle d'obtention de leur baccalauréat</w:t>
            </w:r>
          </w:p>
        </w:tc>
      </w:tr>
      <w:tr w:rsidR="00246446" w:rsidRPr="00A97B79" w14:paraId="1D97BE87"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5F9CCE00"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en STS dans le secteur privé dans la même académie que celle d'obtention de leur baccalauréat</w:t>
            </w:r>
          </w:p>
        </w:tc>
      </w:tr>
      <w:tr w:rsidR="00246446" w:rsidRPr="00A97B79" w14:paraId="74260A8A" w14:textId="77777777" w:rsidTr="00246446">
        <w:trPr>
          <w:trHeight w:val="255"/>
        </w:trPr>
        <w:tc>
          <w:tcPr>
            <w:tcW w:w="5000" w:type="pct"/>
            <w:noWrap/>
            <w:hideMark/>
          </w:tcPr>
          <w:p w14:paraId="61116A40"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en STS dans le secteur public dans une académie différente de celle d'obtention de leur baccalauréat</w:t>
            </w:r>
          </w:p>
        </w:tc>
      </w:tr>
      <w:tr w:rsidR="00246446" w:rsidRPr="00A97B79" w14:paraId="391AE276"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3158DCC9"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en STS dans le secteur public dans la même académie que celle d'obtention de leur baccalauréat</w:t>
            </w:r>
          </w:p>
        </w:tc>
      </w:tr>
      <w:tr w:rsidR="00246446" w:rsidRPr="00A97B79" w14:paraId="7E498D68" w14:textId="77777777" w:rsidTr="00246446">
        <w:trPr>
          <w:trHeight w:val="255"/>
        </w:trPr>
        <w:tc>
          <w:tcPr>
            <w:tcW w:w="5000" w:type="pct"/>
            <w:noWrap/>
            <w:hideMark/>
          </w:tcPr>
          <w:p w14:paraId="4A3F6D1B"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autre formation (secteur non renseigné) dans une académie différente de celle d'obtention de leur baccalauréat</w:t>
            </w:r>
          </w:p>
        </w:tc>
      </w:tr>
      <w:tr w:rsidR="00246446" w:rsidRPr="00A97B79" w14:paraId="6D1CFCA8"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581307BF"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autre formation (secteur non renseigné) dans la même académie que celle d'obtention de leur baccalauréat</w:t>
            </w:r>
          </w:p>
        </w:tc>
      </w:tr>
      <w:tr w:rsidR="00246446" w:rsidRPr="00A97B79" w14:paraId="09C0DC21" w14:textId="77777777" w:rsidTr="00246446">
        <w:trPr>
          <w:trHeight w:val="255"/>
        </w:trPr>
        <w:tc>
          <w:tcPr>
            <w:tcW w:w="5000" w:type="pct"/>
            <w:noWrap/>
            <w:hideMark/>
          </w:tcPr>
          <w:p w14:paraId="3539E988"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autre formation du secteur privé dans une académie différente de celle d'obtention de leur baccalauréat</w:t>
            </w:r>
          </w:p>
        </w:tc>
      </w:tr>
      <w:tr w:rsidR="00246446" w:rsidRPr="00A97B79" w14:paraId="48AA99AE"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3CB3615A"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autre formation du secteur privé dans la même académie que celle d'obtention de leur baccalauréat</w:t>
            </w:r>
          </w:p>
        </w:tc>
      </w:tr>
      <w:tr w:rsidR="00246446" w:rsidRPr="00A97B79" w14:paraId="1921D5E8" w14:textId="77777777" w:rsidTr="00246446">
        <w:trPr>
          <w:trHeight w:val="255"/>
        </w:trPr>
        <w:tc>
          <w:tcPr>
            <w:tcW w:w="5000" w:type="pct"/>
            <w:noWrap/>
            <w:hideMark/>
          </w:tcPr>
          <w:p w14:paraId="65737379"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autre formation du secteur public dans une académie différente de celle d'obtention de leur baccalauréat</w:t>
            </w:r>
          </w:p>
        </w:tc>
      </w:tr>
      <w:tr w:rsidR="00246446" w:rsidRPr="00A97B79" w14:paraId="1B2D4D4B" w14:textId="77777777" w:rsidTr="00246446">
        <w:trPr>
          <w:cnfStyle w:val="000000100000" w:firstRow="0" w:lastRow="0" w:firstColumn="0" w:lastColumn="0" w:oddVBand="0" w:evenVBand="0" w:oddHBand="1" w:evenHBand="0" w:firstRowFirstColumn="0" w:firstRowLastColumn="0" w:lastRowFirstColumn="0" w:lastRowLastColumn="0"/>
          <w:trHeight w:val="255"/>
        </w:trPr>
        <w:tc>
          <w:tcPr>
            <w:tcW w:w="5000" w:type="pct"/>
            <w:noWrap/>
            <w:hideMark/>
          </w:tcPr>
          <w:p w14:paraId="287E952B" w14:textId="77777777" w:rsidR="00246446" w:rsidRPr="00A97B79" w:rsidRDefault="00246446" w:rsidP="00567362">
            <w:pPr>
              <w:rPr>
                <w:rFonts w:ascii="Calibri" w:eastAsia="Times New Roman" w:hAnsi="Calibri" w:cs="Calibri"/>
                <w:color w:val="000000"/>
                <w:sz w:val="20"/>
                <w:szCs w:val="20"/>
                <w:lang w:eastAsia="fr-FR"/>
              </w:rPr>
            </w:pPr>
            <w:r w:rsidRPr="00A97B79">
              <w:rPr>
                <w:rFonts w:ascii="Calibri" w:eastAsia="Times New Roman" w:hAnsi="Calibri" w:cs="Calibri"/>
                <w:color w:val="000000"/>
                <w:sz w:val="20"/>
                <w:szCs w:val="20"/>
                <w:lang w:eastAsia="fr-FR"/>
              </w:rPr>
              <w:t>Néo-bacheliers poursuivant dans une autre formation du secteur public dans la même académie que celle d'obtention de leur baccalauréat</w:t>
            </w:r>
          </w:p>
        </w:tc>
      </w:tr>
    </w:tbl>
    <w:p w14:paraId="3F232E94" w14:textId="77777777" w:rsidR="001B6F12" w:rsidRDefault="001B6F12" w:rsidP="00122984">
      <w:pPr>
        <w:spacing w:after="0"/>
        <w:jc w:val="both"/>
      </w:pPr>
    </w:p>
    <w:p w14:paraId="1894D334" w14:textId="05BCABDC" w:rsidR="00E97590" w:rsidRDefault="00BD1E4B" w:rsidP="00122984">
      <w:pPr>
        <w:spacing w:after="0"/>
        <w:jc w:val="both"/>
      </w:pPr>
      <w:r w:rsidRPr="00504425">
        <w:rPr>
          <w:b/>
        </w:rPr>
        <w:t>V</w:t>
      </w:r>
      <w:r w:rsidR="00925ADF" w:rsidRPr="00504425">
        <w:rPr>
          <w:b/>
        </w:rPr>
        <w:t>ariables</w:t>
      </w:r>
      <w:r w:rsidR="00246446">
        <w:rPr>
          <w:b/>
        </w:rPr>
        <w:t xml:space="preserve"> </w:t>
      </w:r>
      <w:r w:rsidRPr="00504425">
        <w:rPr>
          <w:b/>
        </w:rPr>
        <w:t>de ventilation</w:t>
      </w:r>
      <w:r>
        <w:t xml:space="preserve"> des effectifs</w:t>
      </w:r>
    </w:p>
    <w:p w14:paraId="207724FE" w14:textId="77777777" w:rsidR="00122984" w:rsidRDefault="00122984" w:rsidP="00122984">
      <w:pPr>
        <w:spacing w:after="0"/>
        <w:jc w:val="both"/>
      </w:pPr>
    </w:p>
    <w:p w14:paraId="15D2F978" w14:textId="77777777" w:rsidR="00925ADF" w:rsidRDefault="00925ADF" w:rsidP="00122984">
      <w:pPr>
        <w:pStyle w:val="Paragraphedeliste"/>
        <w:numPr>
          <w:ilvl w:val="0"/>
          <w:numId w:val="1"/>
        </w:numPr>
        <w:spacing w:after="0"/>
        <w:jc w:val="both"/>
      </w:pPr>
      <w:r>
        <w:t xml:space="preserve">« Session / rentrée » : lorsque l’on parle du nombre de bacheliers, l’année est </w:t>
      </w:r>
      <w:r w:rsidR="00070C9E">
        <w:t>celle</w:t>
      </w:r>
      <w:r>
        <w:t xml:space="preserve"> de la session du baccalauréat </w:t>
      </w:r>
      <w:r w:rsidR="00070C9E">
        <w:t xml:space="preserve">(session N à la fin de l’année scolaire N-1/N). Lorsque l’on parle d’un nombre de poursuivants, l’année est celle de la rentrée suivante (rentrée N pour l’année scolaire N/N+1). De cette façon, on peut relier directement le nombre total d’élèves ayant obtenu leur baccalauréat en juin à ceux ayant décidé de continuer leurs études dans l’enseignement supérieur en septembre de la même année. </w:t>
      </w:r>
    </w:p>
    <w:p w14:paraId="59B93839" w14:textId="77777777" w:rsidR="00070C9E" w:rsidRDefault="00070C9E" w:rsidP="00122984">
      <w:pPr>
        <w:spacing w:after="0"/>
        <w:jc w:val="both"/>
      </w:pPr>
    </w:p>
    <w:p w14:paraId="31AED56C" w14:textId="71AD5B71" w:rsidR="00925ADF" w:rsidRDefault="00925ADF" w:rsidP="00666C9B">
      <w:pPr>
        <w:pStyle w:val="Paragraphedeliste"/>
        <w:numPr>
          <w:ilvl w:val="0"/>
          <w:numId w:val="1"/>
        </w:numPr>
        <w:spacing w:after="0"/>
        <w:jc w:val="both"/>
      </w:pPr>
      <w:r>
        <w:t>Académie du bac</w:t>
      </w:r>
      <w:r w:rsidR="000C093A">
        <w:t>calauréat</w:t>
      </w:r>
      <w:r>
        <w:t xml:space="preserve"> : </w:t>
      </w:r>
      <w:r w:rsidR="00070C9E">
        <w:t>il s’agit de l’académie dans laquelle l’élève a obtenu son baccalauréat.</w:t>
      </w:r>
      <w:r w:rsidR="00666C9B" w:rsidRPr="00666C9B" w:rsidDel="00384EF0">
        <w:t xml:space="preserve"> </w:t>
      </w:r>
      <w:r w:rsidR="00384EF0">
        <w:t>C</w:t>
      </w:r>
      <w:r w:rsidR="00070C9E">
        <w:t>ette information est manquante</w:t>
      </w:r>
      <w:r w:rsidR="00AE44F0">
        <w:t xml:space="preserve"> pour certains étudiants</w:t>
      </w:r>
      <w:r w:rsidR="001422D5" w:rsidRPr="001422D5">
        <w:t xml:space="preserve">. Afin d’avoir des résultats cohérents entre les niveaux national et académiques, </w:t>
      </w:r>
      <w:r w:rsidR="00384EF0">
        <w:t>l</w:t>
      </w:r>
      <w:r w:rsidR="001422D5" w:rsidRPr="001422D5">
        <w:t>es étudiants pour lesquels l’académie de baccalauréat est inconnu</w:t>
      </w:r>
      <w:r w:rsidR="001422D5">
        <w:t>e</w:t>
      </w:r>
      <w:r w:rsidR="00070C9E">
        <w:t xml:space="preserve"> </w:t>
      </w:r>
      <w:r w:rsidR="00AE44F0">
        <w:t xml:space="preserve">sont répartis dans </w:t>
      </w:r>
      <w:r w:rsidR="00384EF0">
        <w:t>toutes les</w:t>
      </w:r>
      <w:r w:rsidR="00AE44F0">
        <w:t xml:space="preserve"> académies </w:t>
      </w:r>
      <w:r w:rsidR="00384EF0">
        <w:t>de France métropolitaine + D</w:t>
      </w:r>
      <w:r w:rsidR="00443BD5">
        <w:t>R</w:t>
      </w:r>
      <w:r w:rsidR="00384EF0">
        <w:t>OM</w:t>
      </w:r>
      <w:r w:rsidR="00AE44F0">
        <w:t xml:space="preserve">, au prorata des effectifs </w:t>
      </w:r>
      <w:r w:rsidR="001422D5">
        <w:t xml:space="preserve">étudiants </w:t>
      </w:r>
      <w:r w:rsidR="00AE44F0">
        <w:t>constatés</w:t>
      </w:r>
      <w:r w:rsidR="00384EF0">
        <w:t xml:space="preserve"> dans l’académie</w:t>
      </w:r>
      <w:r w:rsidR="00AE44F0">
        <w:t xml:space="preserve">. Cette correction ne modifie donc pas la répartition des étudiants par académie du bac. </w:t>
      </w:r>
    </w:p>
    <w:p w14:paraId="1B3E6D99" w14:textId="77777777" w:rsidR="00AE44F0" w:rsidRDefault="00AE44F0" w:rsidP="00122984">
      <w:pPr>
        <w:spacing w:after="0"/>
        <w:jc w:val="both"/>
      </w:pPr>
    </w:p>
    <w:p w14:paraId="44FF467F" w14:textId="77777777" w:rsidR="00925ADF" w:rsidRDefault="00925ADF" w:rsidP="00122984">
      <w:pPr>
        <w:pStyle w:val="Paragraphedeliste"/>
        <w:numPr>
          <w:ilvl w:val="0"/>
          <w:numId w:val="1"/>
        </w:numPr>
        <w:spacing w:after="0"/>
        <w:jc w:val="both"/>
      </w:pPr>
      <w:r>
        <w:t>Série du bac :</w:t>
      </w:r>
      <w:r w:rsidR="00782D46">
        <w:t xml:space="preserve"> </w:t>
      </w:r>
      <w:r w:rsidR="00EF5A3C">
        <w:t xml:space="preserve">baccalauréat obtenu par l’étudiant, </w:t>
      </w:r>
      <w:r w:rsidR="00E2700E">
        <w:t xml:space="preserve">regroupé </w:t>
      </w:r>
      <w:r w:rsidR="00EF5A3C">
        <w:t xml:space="preserve">en 3 modalités : </w:t>
      </w:r>
      <w:r w:rsidR="00E2700E">
        <w:t>générale, technologique et professionnelle</w:t>
      </w:r>
      <w:r w:rsidR="0098096F">
        <w:t xml:space="preserve">. </w:t>
      </w:r>
    </w:p>
    <w:p w14:paraId="10404DA8" w14:textId="77777777" w:rsidR="00E2700E" w:rsidRDefault="00E2700E" w:rsidP="00122984">
      <w:pPr>
        <w:spacing w:after="0"/>
        <w:jc w:val="both"/>
      </w:pPr>
    </w:p>
    <w:p w14:paraId="0DEFDF81" w14:textId="036DC9BB" w:rsidR="00925ADF" w:rsidRDefault="00925ADF" w:rsidP="00122984">
      <w:pPr>
        <w:pStyle w:val="Paragraphedeliste"/>
        <w:numPr>
          <w:ilvl w:val="0"/>
          <w:numId w:val="1"/>
        </w:numPr>
        <w:spacing w:after="0"/>
        <w:jc w:val="both"/>
      </w:pPr>
      <w:r>
        <w:t>Sexe :</w:t>
      </w:r>
      <w:r w:rsidR="00E2700E">
        <w:t xml:space="preserve"> </w:t>
      </w:r>
      <w:r w:rsidR="004439C5">
        <w:t xml:space="preserve">genre de l’étudiant. </w:t>
      </w:r>
      <w:r w:rsidR="00384EF0">
        <w:t>L</w:t>
      </w:r>
      <w:r w:rsidR="00E37C0E">
        <w:t xml:space="preserve">es étudiants </w:t>
      </w:r>
      <w:r w:rsidR="00384EF0">
        <w:t xml:space="preserve">pour lesquels le genre est inconnu sont </w:t>
      </w:r>
      <w:r w:rsidR="00E37C0E">
        <w:t>répartis entre les deux genres à 50/50</w:t>
      </w:r>
      <w:r w:rsidR="00BD1E4B">
        <w:t xml:space="preserve">, </w:t>
      </w:r>
      <w:r w:rsidR="00443BD5">
        <w:t xml:space="preserve">au niveau le plus fin du croisement année * </w:t>
      </w:r>
      <w:r w:rsidR="00384EF0">
        <w:t>académie</w:t>
      </w:r>
      <w:r w:rsidR="00443BD5">
        <w:t xml:space="preserve"> * série du baccalauréat</w:t>
      </w:r>
    </w:p>
    <w:p w14:paraId="465E178D" w14:textId="77777777" w:rsidR="00801F60" w:rsidRDefault="00801F60" w:rsidP="00122984">
      <w:pPr>
        <w:spacing w:after="0"/>
      </w:pPr>
    </w:p>
    <w:p w14:paraId="0AA20F03" w14:textId="379F9D59" w:rsidR="00801F60" w:rsidRDefault="00801F60" w:rsidP="00122984">
      <w:pPr>
        <w:spacing w:after="0"/>
        <w:jc w:val="both"/>
      </w:pPr>
      <w:r>
        <w:t xml:space="preserve">Les </w:t>
      </w:r>
      <w:r w:rsidR="00384EF0">
        <w:t xml:space="preserve">imputations </w:t>
      </w:r>
      <w:r>
        <w:t>nécessaires sur deux variables</w:t>
      </w:r>
      <w:r w:rsidR="006C3557">
        <w:t xml:space="preserve"> </w:t>
      </w:r>
      <w:r w:rsidR="00384EF0">
        <w:t>(</w:t>
      </w:r>
      <w:r w:rsidR="000F2F8C">
        <w:t xml:space="preserve">académie du bac et genre) </w:t>
      </w:r>
      <w:r>
        <w:t xml:space="preserve">sont faites par </w:t>
      </w:r>
      <w:r w:rsidRPr="00801F60">
        <w:t xml:space="preserve">proratisation </w:t>
      </w:r>
      <w:r>
        <w:t xml:space="preserve">d’effectifs, et non par une réattribution individuelle des caractéristiques manquantes. Il </w:t>
      </w:r>
      <w:r w:rsidR="00DE311C">
        <w:t>en résulte</w:t>
      </w:r>
      <w:r>
        <w:t xml:space="preserve"> une possibilité de trouver des effectifs avec décimales dans le fichier. </w:t>
      </w:r>
      <w:r w:rsidR="00E8770E">
        <w:t xml:space="preserve">De plus, avec ces corrections, le nombre de néo-bacheliers poursuivant peut être supérieur au nombre de bacheliers dans certaines cases, amenant à un taux de poursuite légèrement supérieur à 100%. </w:t>
      </w:r>
    </w:p>
    <w:p w14:paraId="06269F30" w14:textId="77777777" w:rsidR="00925ADF" w:rsidRDefault="00925ADF" w:rsidP="00122984">
      <w:pPr>
        <w:spacing w:after="0"/>
        <w:jc w:val="both"/>
      </w:pPr>
    </w:p>
    <w:p w14:paraId="60533285" w14:textId="77777777" w:rsidR="004A6AE7" w:rsidRPr="0036021A" w:rsidRDefault="004A6AE7" w:rsidP="00122984">
      <w:pPr>
        <w:spacing w:after="0"/>
        <w:jc w:val="both"/>
        <w:rPr>
          <w:b/>
          <w:color w:val="1F4E79" w:themeColor="accent1" w:themeShade="80"/>
        </w:rPr>
      </w:pPr>
      <w:r w:rsidRPr="0036021A">
        <w:rPr>
          <w:b/>
          <w:color w:val="1F4E79" w:themeColor="accent1" w:themeShade="80"/>
        </w:rPr>
        <w:t>Calculs</w:t>
      </w:r>
    </w:p>
    <w:p w14:paraId="72C602A3" w14:textId="77777777" w:rsidR="00E97590" w:rsidRDefault="00E97590" w:rsidP="00122984">
      <w:pPr>
        <w:spacing w:after="0"/>
        <w:jc w:val="both"/>
      </w:pPr>
    </w:p>
    <w:p w14:paraId="31601DC1" w14:textId="6E148614" w:rsidR="00E97590" w:rsidRDefault="00570DFA" w:rsidP="00122984">
      <w:pPr>
        <w:spacing w:after="0"/>
        <w:jc w:val="both"/>
      </w:pPr>
      <w:r>
        <w:t xml:space="preserve">Afin de calculer des taux de poursuite conformes aux diffusions du SIES, il faut sommer les </w:t>
      </w:r>
      <w:r w:rsidR="000F2F8C">
        <w:t xml:space="preserve">néo-bacheliers </w:t>
      </w:r>
      <w:r>
        <w:t xml:space="preserve">poursuivant </w:t>
      </w:r>
      <w:r w:rsidR="000F2F8C">
        <w:t xml:space="preserve">dans les filières de formation </w:t>
      </w:r>
      <w:r w:rsidR="00FB4748">
        <w:t>et les secteurs d’établissement retenu</w:t>
      </w:r>
      <w:r w:rsidR="000F2F8C">
        <w:t xml:space="preserve">s, </w:t>
      </w:r>
      <w:r>
        <w:t>selon la granularité souhaitée (somme selon l</w:t>
      </w:r>
      <w:r w:rsidR="000F2F8C">
        <w:t>’année, l</w:t>
      </w:r>
      <w:r>
        <w:t>es académies</w:t>
      </w:r>
      <w:r w:rsidR="000F2F8C">
        <w:t xml:space="preserve"> du baccalauréat</w:t>
      </w:r>
      <w:r>
        <w:t xml:space="preserve">, les </w:t>
      </w:r>
      <w:r w:rsidR="000F2F8C">
        <w:t xml:space="preserve">grandes séries de </w:t>
      </w:r>
      <w:r>
        <w:t>bac</w:t>
      </w:r>
      <w:r w:rsidR="000F2F8C">
        <w:t>calauréat</w:t>
      </w:r>
      <w:r>
        <w:t xml:space="preserve">, le genre). Les bacheliers doivent être sommés en suivant la même granularité pour s’assurer de la cohérence de l’indicateur. </w:t>
      </w:r>
      <w:r w:rsidR="007E13A0">
        <w:t xml:space="preserve">Il suffit alors de diviser la première somme par la seconde. </w:t>
      </w:r>
    </w:p>
    <w:p w14:paraId="4F623660" w14:textId="77777777" w:rsidR="006A56A8" w:rsidRDefault="006A56A8" w:rsidP="00122984">
      <w:pPr>
        <w:spacing w:after="0"/>
        <w:jc w:val="both"/>
      </w:pPr>
    </w:p>
    <w:p w14:paraId="7A1CA3DB" w14:textId="77777777" w:rsidR="003173A5" w:rsidRDefault="003173A5" w:rsidP="00122984">
      <w:pPr>
        <w:spacing w:after="0"/>
        <w:jc w:val="both"/>
      </w:pPr>
    </w:p>
    <w:p w14:paraId="37C6FEDF" w14:textId="77777777" w:rsidR="003173A5" w:rsidRDefault="003173A5">
      <w:pPr>
        <w:rPr>
          <w:highlight w:val="yellow"/>
        </w:rPr>
      </w:pPr>
      <w:r>
        <w:rPr>
          <w:highlight w:val="yellow"/>
        </w:rPr>
        <w:br w:type="page"/>
      </w:r>
    </w:p>
    <w:p w14:paraId="682C83A8" w14:textId="1E33E928" w:rsidR="003173A5" w:rsidRDefault="003173A5" w:rsidP="001F0C5A">
      <w:pPr>
        <w:spacing w:after="0"/>
        <w:jc w:val="center"/>
        <w:rPr>
          <w:b/>
          <w:sz w:val="32"/>
          <w:szCs w:val="32"/>
        </w:rPr>
      </w:pPr>
      <w:r w:rsidRPr="001F0C5A">
        <w:rPr>
          <w:b/>
          <w:sz w:val="32"/>
          <w:szCs w:val="32"/>
        </w:rPr>
        <w:lastRenderedPageBreak/>
        <w:t>Dictionnaire des variables</w:t>
      </w:r>
      <w:r w:rsidR="00666C9B">
        <w:rPr>
          <w:b/>
          <w:sz w:val="32"/>
          <w:szCs w:val="32"/>
        </w:rPr>
        <w:t xml:space="preserve"> de ventilation</w:t>
      </w:r>
    </w:p>
    <w:p w14:paraId="4884773A" w14:textId="77777777" w:rsidR="001B6F12" w:rsidRPr="001B6F12" w:rsidRDefault="001B6F12" w:rsidP="001B6F12">
      <w:pPr>
        <w:spacing w:after="0"/>
        <w:jc w:val="both"/>
      </w:pPr>
    </w:p>
    <w:tbl>
      <w:tblPr>
        <w:tblStyle w:val="TableauGrille4-Accentuation5"/>
        <w:tblW w:w="7933" w:type="dxa"/>
        <w:tblLook w:val="04A0" w:firstRow="1" w:lastRow="0" w:firstColumn="1" w:lastColumn="0" w:noHBand="0" w:noVBand="1"/>
      </w:tblPr>
      <w:tblGrid>
        <w:gridCol w:w="1928"/>
        <w:gridCol w:w="6005"/>
      </w:tblGrid>
      <w:tr w:rsidR="00666C9B" w:rsidRPr="000D5BBC" w14:paraId="02386B2A" w14:textId="77777777" w:rsidTr="00443BD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hideMark/>
          </w:tcPr>
          <w:p w14:paraId="2A087AAD" w14:textId="77777777" w:rsidR="00666C9B" w:rsidRPr="000D5BBC" w:rsidRDefault="00666C9B" w:rsidP="0053675F">
            <w:pPr>
              <w:jc w:val="center"/>
              <w:rPr>
                <w:rFonts w:ascii="Calibri" w:eastAsia="Times New Roman" w:hAnsi="Calibri" w:cs="Times New Roman"/>
                <w:lang w:eastAsia="fr-FR"/>
              </w:rPr>
            </w:pPr>
            <w:r w:rsidRPr="000D5BBC">
              <w:rPr>
                <w:rFonts w:ascii="Calibri" w:eastAsia="Times New Roman" w:hAnsi="Calibri" w:cs="Times New Roman"/>
                <w:lang w:eastAsia="fr-FR"/>
              </w:rPr>
              <w:t>Session / Rentrée</w:t>
            </w:r>
          </w:p>
        </w:tc>
        <w:tc>
          <w:tcPr>
            <w:tcW w:w="6005" w:type="dxa"/>
            <w:noWrap/>
            <w:vAlign w:val="center"/>
            <w:hideMark/>
          </w:tcPr>
          <w:p w14:paraId="225717CA" w14:textId="62DC5DB0" w:rsidR="00666C9B" w:rsidRPr="000D5BBC" w:rsidRDefault="00FB4748" w:rsidP="0053675F">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lang w:eastAsia="fr-FR"/>
              </w:rPr>
            </w:pPr>
            <w:r>
              <w:rPr>
                <w:rFonts w:ascii="Calibri" w:eastAsia="Times New Roman" w:hAnsi="Calibri" w:cs="Times New Roman"/>
                <w:lang w:eastAsia="fr-FR"/>
              </w:rPr>
              <w:t>Définition</w:t>
            </w:r>
          </w:p>
        </w:tc>
      </w:tr>
      <w:tr w:rsidR="00666C9B" w:rsidRPr="000D5BBC" w14:paraId="52D444F6" w14:textId="77777777" w:rsidTr="00443BD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8" w:type="dxa"/>
            <w:vAlign w:val="center"/>
            <w:hideMark/>
          </w:tcPr>
          <w:p w14:paraId="4973E860" w14:textId="2931DA56" w:rsidR="00666C9B" w:rsidRPr="000D5BBC" w:rsidRDefault="00BD1E4B" w:rsidP="0053675F">
            <w:pPr>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N</w:t>
            </w:r>
          </w:p>
        </w:tc>
        <w:tc>
          <w:tcPr>
            <w:tcW w:w="6005" w:type="dxa"/>
            <w:noWrap/>
            <w:vAlign w:val="center"/>
            <w:hideMark/>
          </w:tcPr>
          <w:p w14:paraId="1942A453" w14:textId="0DDC14DA" w:rsidR="00666C9B" w:rsidRDefault="00666C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D5BBC">
              <w:rPr>
                <w:rFonts w:ascii="Calibri" w:eastAsia="Times New Roman" w:hAnsi="Calibri" w:cs="Times New Roman"/>
                <w:color w:val="000000"/>
                <w:lang w:eastAsia="fr-FR"/>
              </w:rPr>
              <w:t xml:space="preserve">Session </w:t>
            </w:r>
            <w:r w:rsidR="00BD1E4B">
              <w:rPr>
                <w:rFonts w:ascii="Calibri" w:eastAsia="Times New Roman" w:hAnsi="Calibri" w:cs="Times New Roman"/>
                <w:color w:val="000000"/>
                <w:lang w:eastAsia="fr-FR"/>
              </w:rPr>
              <w:t>N</w:t>
            </w:r>
            <w:r w:rsidRPr="000D5BBC">
              <w:rPr>
                <w:rFonts w:ascii="Calibri" w:eastAsia="Times New Roman" w:hAnsi="Calibri" w:cs="Times New Roman"/>
                <w:color w:val="000000"/>
                <w:lang w:eastAsia="fr-FR"/>
              </w:rPr>
              <w:t xml:space="preserve"> pour les </w:t>
            </w:r>
            <w:r>
              <w:rPr>
                <w:rFonts w:ascii="Calibri" w:eastAsia="Times New Roman" w:hAnsi="Calibri" w:cs="Times New Roman"/>
                <w:color w:val="000000"/>
                <w:lang w:eastAsia="fr-FR"/>
              </w:rPr>
              <w:t>bacheliers</w:t>
            </w:r>
          </w:p>
          <w:p w14:paraId="7EA6749A" w14:textId="22FF93EA" w:rsidR="00666C9B" w:rsidRPr="000D5BBC" w:rsidRDefault="00666C9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R</w:t>
            </w:r>
            <w:r w:rsidRPr="000D5BBC">
              <w:rPr>
                <w:rFonts w:ascii="Calibri" w:eastAsia="Times New Roman" w:hAnsi="Calibri" w:cs="Times New Roman"/>
                <w:color w:val="000000"/>
                <w:lang w:eastAsia="fr-FR"/>
              </w:rPr>
              <w:t xml:space="preserve">entrée </w:t>
            </w:r>
            <w:r w:rsidR="00BD1E4B">
              <w:rPr>
                <w:rFonts w:ascii="Calibri" w:eastAsia="Times New Roman" w:hAnsi="Calibri" w:cs="Times New Roman"/>
                <w:color w:val="000000"/>
                <w:lang w:eastAsia="fr-FR"/>
              </w:rPr>
              <w:t>N</w:t>
            </w:r>
            <w:r w:rsidRPr="000D5BBC">
              <w:rPr>
                <w:rFonts w:ascii="Calibri" w:eastAsia="Times New Roman" w:hAnsi="Calibri" w:cs="Times New Roman"/>
                <w:color w:val="000000"/>
                <w:lang w:eastAsia="fr-FR"/>
              </w:rPr>
              <w:t xml:space="preserve"> de l'année universitaire </w:t>
            </w:r>
            <w:r w:rsidR="00BD1E4B">
              <w:rPr>
                <w:rFonts w:ascii="Calibri" w:eastAsia="Times New Roman" w:hAnsi="Calibri" w:cs="Times New Roman"/>
                <w:color w:val="000000"/>
                <w:lang w:eastAsia="fr-FR"/>
              </w:rPr>
              <w:t>N</w:t>
            </w:r>
            <w:r w:rsidRPr="000D5BBC">
              <w:rPr>
                <w:rFonts w:ascii="Calibri" w:eastAsia="Times New Roman" w:hAnsi="Calibri" w:cs="Times New Roman"/>
                <w:color w:val="000000"/>
                <w:lang w:eastAsia="fr-FR"/>
              </w:rPr>
              <w:t>-</w:t>
            </w:r>
            <w:r w:rsidR="00BD1E4B">
              <w:rPr>
                <w:rFonts w:ascii="Calibri" w:eastAsia="Times New Roman" w:hAnsi="Calibri" w:cs="Times New Roman"/>
                <w:color w:val="000000"/>
                <w:lang w:eastAsia="fr-FR"/>
              </w:rPr>
              <w:t>N+1</w:t>
            </w:r>
            <w:r w:rsidR="00443BD5">
              <w:rPr>
                <w:rFonts w:ascii="Calibri" w:eastAsia="Times New Roman" w:hAnsi="Calibri" w:cs="Times New Roman"/>
                <w:color w:val="000000"/>
                <w:lang w:eastAsia="fr-FR"/>
              </w:rPr>
              <w:t xml:space="preserve"> pour les poursuivants</w:t>
            </w:r>
          </w:p>
        </w:tc>
      </w:tr>
    </w:tbl>
    <w:p w14:paraId="7E7A046B" w14:textId="77777777" w:rsidR="00666C9B" w:rsidRDefault="00666C9B" w:rsidP="00122984">
      <w:pPr>
        <w:spacing w:after="0"/>
        <w:jc w:val="both"/>
      </w:pPr>
    </w:p>
    <w:tbl>
      <w:tblPr>
        <w:tblStyle w:val="TableauGrille4-Accentuation5"/>
        <w:tblW w:w="5000" w:type="pct"/>
        <w:tblLook w:val="04A0" w:firstRow="1" w:lastRow="0" w:firstColumn="1" w:lastColumn="0" w:noHBand="0" w:noVBand="1"/>
      </w:tblPr>
      <w:tblGrid>
        <w:gridCol w:w="3085"/>
        <w:gridCol w:w="2269"/>
        <w:gridCol w:w="3708"/>
      </w:tblGrid>
      <w:tr w:rsidR="00221C70" w:rsidRPr="00221C70" w14:paraId="186381CF" w14:textId="77777777" w:rsidTr="007F73F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038ECE8A" w14:textId="77777777" w:rsidR="00221C70" w:rsidRPr="00221C70" w:rsidRDefault="00221C70" w:rsidP="001F0C5A">
            <w:pPr>
              <w:jc w:val="center"/>
              <w:rPr>
                <w:rFonts w:ascii="Calibri" w:eastAsia="Times New Roman" w:hAnsi="Calibri" w:cs="Calibri"/>
                <w:lang w:eastAsia="fr-FR"/>
              </w:rPr>
            </w:pPr>
            <w:r w:rsidRPr="00221C70">
              <w:rPr>
                <w:rFonts w:ascii="Calibri" w:eastAsia="Times New Roman" w:hAnsi="Calibri" w:cs="Calibri"/>
                <w:lang w:eastAsia="fr-FR"/>
              </w:rPr>
              <w:t>Académie du bac</w:t>
            </w:r>
          </w:p>
        </w:tc>
        <w:tc>
          <w:tcPr>
            <w:tcW w:w="1252" w:type="pct"/>
            <w:noWrap/>
            <w:hideMark/>
          </w:tcPr>
          <w:p w14:paraId="18962E65" w14:textId="77777777" w:rsidR="00221C70" w:rsidRPr="00221C70" w:rsidRDefault="00221C70" w:rsidP="001F0C5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221C70">
              <w:rPr>
                <w:rFonts w:ascii="Calibri" w:eastAsia="Times New Roman" w:hAnsi="Calibri" w:cs="Calibri"/>
                <w:lang w:eastAsia="fr-FR"/>
              </w:rPr>
              <w:t>Code académie</w:t>
            </w:r>
          </w:p>
        </w:tc>
        <w:tc>
          <w:tcPr>
            <w:tcW w:w="2046" w:type="pct"/>
            <w:noWrap/>
            <w:hideMark/>
          </w:tcPr>
          <w:p w14:paraId="547E9D40" w14:textId="77777777" w:rsidR="00221C70" w:rsidRPr="00221C70" w:rsidRDefault="00221C70" w:rsidP="001F0C5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fr-FR"/>
              </w:rPr>
            </w:pPr>
            <w:r w:rsidRPr="00221C70">
              <w:rPr>
                <w:rFonts w:ascii="Calibri" w:eastAsia="Times New Roman" w:hAnsi="Calibri" w:cs="Calibri"/>
                <w:lang w:eastAsia="fr-FR"/>
              </w:rPr>
              <w:t>Région académique</w:t>
            </w:r>
          </w:p>
        </w:tc>
      </w:tr>
      <w:tr w:rsidR="00221C70" w:rsidRPr="00221C70" w14:paraId="30C0E37C"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3C77A8B5"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AIX-MARSEILLE</w:t>
            </w:r>
          </w:p>
        </w:tc>
        <w:tc>
          <w:tcPr>
            <w:tcW w:w="1252" w:type="pct"/>
            <w:noWrap/>
            <w:hideMark/>
          </w:tcPr>
          <w:p w14:paraId="558FFEAB"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02</w:t>
            </w:r>
          </w:p>
        </w:tc>
        <w:tc>
          <w:tcPr>
            <w:tcW w:w="2046" w:type="pct"/>
            <w:noWrap/>
            <w:hideMark/>
          </w:tcPr>
          <w:p w14:paraId="1029DAF0" w14:textId="77777777" w:rsidR="00221C70" w:rsidRPr="00221C70" w:rsidRDefault="00CF719B"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Provence-Alpes-Côte d’Azur</w:t>
            </w:r>
          </w:p>
        </w:tc>
      </w:tr>
      <w:tr w:rsidR="00221C70" w:rsidRPr="00221C70" w14:paraId="3BFD6A11"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72E3CBA9"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AMIENS</w:t>
            </w:r>
          </w:p>
        </w:tc>
        <w:tc>
          <w:tcPr>
            <w:tcW w:w="1252" w:type="pct"/>
            <w:noWrap/>
            <w:hideMark/>
          </w:tcPr>
          <w:p w14:paraId="2808F467"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20</w:t>
            </w:r>
          </w:p>
        </w:tc>
        <w:tc>
          <w:tcPr>
            <w:tcW w:w="2046" w:type="pct"/>
            <w:noWrap/>
            <w:hideMark/>
          </w:tcPr>
          <w:p w14:paraId="7A94DD5E"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Hauts-de-France</w:t>
            </w:r>
          </w:p>
        </w:tc>
      </w:tr>
      <w:tr w:rsidR="00221C70" w:rsidRPr="00221C70" w14:paraId="4E3D4B6C"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03DADF07"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BESANCON</w:t>
            </w:r>
          </w:p>
        </w:tc>
        <w:tc>
          <w:tcPr>
            <w:tcW w:w="1252" w:type="pct"/>
            <w:noWrap/>
            <w:hideMark/>
          </w:tcPr>
          <w:p w14:paraId="7EAAC2A4"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03</w:t>
            </w:r>
          </w:p>
        </w:tc>
        <w:tc>
          <w:tcPr>
            <w:tcW w:w="2046" w:type="pct"/>
            <w:noWrap/>
            <w:hideMark/>
          </w:tcPr>
          <w:p w14:paraId="77FA0922"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Bourgogne-Franche-Comté</w:t>
            </w:r>
          </w:p>
        </w:tc>
      </w:tr>
      <w:tr w:rsidR="00221C70" w:rsidRPr="00221C70" w14:paraId="39128A89"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208341A2"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BORDEAUX</w:t>
            </w:r>
          </w:p>
        </w:tc>
        <w:tc>
          <w:tcPr>
            <w:tcW w:w="1252" w:type="pct"/>
            <w:noWrap/>
            <w:hideMark/>
          </w:tcPr>
          <w:p w14:paraId="66799DB2"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04</w:t>
            </w:r>
          </w:p>
        </w:tc>
        <w:tc>
          <w:tcPr>
            <w:tcW w:w="2046" w:type="pct"/>
            <w:noWrap/>
            <w:hideMark/>
          </w:tcPr>
          <w:p w14:paraId="62A39831"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Nouvelle-Aquitaine</w:t>
            </w:r>
          </w:p>
        </w:tc>
      </w:tr>
      <w:tr w:rsidR="00221C70" w:rsidRPr="00221C70" w14:paraId="3913A5D0"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51D0EDC2"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CLERMONT-FERRAND</w:t>
            </w:r>
          </w:p>
        </w:tc>
        <w:tc>
          <w:tcPr>
            <w:tcW w:w="1252" w:type="pct"/>
            <w:noWrap/>
            <w:hideMark/>
          </w:tcPr>
          <w:p w14:paraId="573E1D11"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06</w:t>
            </w:r>
          </w:p>
        </w:tc>
        <w:tc>
          <w:tcPr>
            <w:tcW w:w="2046" w:type="pct"/>
            <w:noWrap/>
            <w:hideMark/>
          </w:tcPr>
          <w:p w14:paraId="04EDFD1B" w14:textId="77777777" w:rsidR="00221C70" w:rsidRPr="00221C70" w:rsidRDefault="00CF719B"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Auvergne-Rhône-Alpes</w:t>
            </w:r>
          </w:p>
        </w:tc>
      </w:tr>
      <w:tr w:rsidR="00221C70" w:rsidRPr="00221C70" w14:paraId="4CFA4E31"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41CCEE76"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CORSE</w:t>
            </w:r>
          </w:p>
        </w:tc>
        <w:tc>
          <w:tcPr>
            <w:tcW w:w="1252" w:type="pct"/>
            <w:noWrap/>
            <w:hideMark/>
          </w:tcPr>
          <w:p w14:paraId="6DE4ECCC"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27</w:t>
            </w:r>
          </w:p>
        </w:tc>
        <w:tc>
          <w:tcPr>
            <w:tcW w:w="2046" w:type="pct"/>
            <w:noWrap/>
            <w:hideMark/>
          </w:tcPr>
          <w:p w14:paraId="025D3657"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Corse</w:t>
            </w:r>
          </w:p>
        </w:tc>
      </w:tr>
      <w:tr w:rsidR="00221C70" w:rsidRPr="00221C70" w14:paraId="62DE66CF"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39969C8C"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CRETEIL</w:t>
            </w:r>
          </w:p>
        </w:tc>
        <w:tc>
          <w:tcPr>
            <w:tcW w:w="1252" w:type="pct"/>
            <w:noWrap/>
            <w:hideMark/>
          </w:tcPr>
          <w:p w14:paraId="6200832B"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24</w:t>
            </w:r>
          </w:p>
        </w:tc>
        <w:tc>
          <w:tcPr>
            <w:tcW w:w="2046" w:type="pct"/>
            <w:noWrap/>
            <w:hideMark/>
          </w:tcPr>
          <w:p w14:paraId="48B5006E" w14:textId="77777777" w:rsidR="00221C70" w:rsidRPr="00221C70" w:rsidRDefault="00CF719B"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Île-de-France</w:t>
            </w:r>
          </w:p>
        </w:tc>
      </w:tr>
      <w:tr w:rsidR="00221C70" w:rsidRPr="00221C70" w14:paraId="051CCED4"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091AEDCB"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DIJON</w:t>
            </w:r>
          </w:p>
        </w:tc>
        <w:tc>
          <w:tcPr>
            <w:tcW w:w="1252" w:type="pct"/>
            <w:noWrap/>
            <w:hideMark/>
          </w:tcPr>
          <w:p w14:paraId="69212902"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07</w:t>
            </w:r>
          </w:p>
        </w:tc>
        <w:tc>
          <w:tcPr>
            <w:tcW w:w="2046" w:type="pct"/>
            <w:noWrap/>
            <w:hideMark/>
          </w:tcPr>
          <w:p w14:paraId="382F2EA2"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Bourgogne-Franche-Comté</w:t>
            </w:r>
          </w:p>
        </w:tc>
      </w:tr>
      <w:tr w:rsidR="00221C70" w:rsidRPr="00221C70" w14:paraId="75E87674"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3D37438D"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GRENOBLE</w:t>
            </w:r>
          </w:p>
        </w:tc>
        <w:tc>
          <w:tcPr>
            <w:tcW w:w="1252" w:type="pct"/>
            <w:noWrap/>
            <w:hideMark/>
          </w:tcPr>
          <w:p w14:paraId="0C275C55"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08</w:t>
            </w:r>
          </w:p>
        </w:tc>
        <w:tc>
          <w:tcPr>
            <w:tcW w:w="2046" w:type="pct"/>
            <w:noWrap/>
            <w:hideMark/>
          </w:tcPr>
          <w:p w14:paraId="5D0DCFC4" w14:textId="77777777" w:rsidR="00221C70" w:rsidRPr="00221C70" w:rsidRDefault="00CF719B"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Auvergne-Rhône-Alpes</w:t>
            </w:r>
          </w:p>
        </w:tc>
      </w:tr>
      <w:tr w:rsidR="00221C70" w:rsidRPr="00221C70" w14:paraId="7D0B2ABA"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721541B0"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GUADELOUPE</w:t>
            </w:r>
          </w:p>
        </w:tc>
        <w:tc>
          <w:tcPr>
            <w:tcW w:w="1252" w:type="pct"/>
            <w:noWrap/>
            <w:hideMark/>
          </w:tcPr>
          <w:p w14:paraId="3485FF64"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32</w:t>
            </w:r>
          </w:p>
        </w:tc>
        <w:tc>
          <w:tcPr>
            <w:tcW w:w="2046" w:type="pct"/>
            <w:noWrap/>
            <w:hideMark/>
          </w:tcPr>
          <w:p w14:paraId="13A35BF3"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Guadeloupe</w:t>
            </w:r>
          </w:p>
        </w:tc>
      </w:tr>
      <w:tr w:rsidR="00221C70" w:rsidRPr="00221C70" w14:paraId="01653232"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30731D47"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GUYANE</w:t>
            </w:r>
          </w:p>
        </w:tc>
        <w:tc>
          <w:tcPr>
            <w:tcW w:w="1252" w:type="pct"/>
            <w:noWrap/>
            <w:hideMark/>
          </w:tcPr>
          <w:p w14:paraId="4B370270"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33</w:t>
            </w:r>
          </w:p>
        </w:tc>
        <w:tc>
          <w:tcPr>
            <w:tcW w:w="2046" w:type="pct"/>
            <w:noWrap/>
            <w:hideMark/>
          </w:tcPr>
          <w:p w14:paraId="18654DC5"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Guyane</w:t>
            </w:r>
          </w:p>
        </w:tc>
      </w:tr>
      <w:tr w:rsidR="00221C70" w:rsidRPr="00221C70" w14:paraId="58EF8190"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22436169"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LA REUNION</w:t>
            </w:r>
          </w:p>
        </w:tc>
        <w:tc>
          <w:tcPr>
            <w:tcW w:w="1252" w:type="pct"/>
            <w:noWrap/>
            <w:hideMark/>
          </w:tcPr>
          <w:p w14:paraId="0DFCCA4C"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28</w:t>
            </w:r>
          </w:p>
        </w:tc>
        <w:tc>
          <w:tcPr>
            <w:tcW w:w="2046" w:type="pct"/>
            <w:noWrap/>
            <w:hideMark/>
          </w:tcPr>
          <w:p w14:paraId="35E979B9"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Réunion</w:t>
            </w:r>
          </w:p>
        </w:tc>
      </w:tr>
      <w:tr w:rsidR="00221C70" w:rsidRPr="00221C70" w14:paraId="476F7720"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774A6141"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LILLE</w:t>
            </w:r>
          </w:p>
        </w:tc>
        <w:tc>
          <w:tcPr>
            <w:tcW w:w="1252" w:type="pct"/>
            <w:noWrap/>
            <w:hideMark/>
          </w:tcPr>
          <w:p w14:paraId="7B81E2AF"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09</w:t>
            </w:r>
          </w:p>
        </w:tc>
        <w:tc>
          <w:tcPr>
            <w:tcW w:w="2046" w:type="pct"/>
            <w:noWrap/>
            <w:hideMark/>
          </w:tcPr>
          <w:p w14:paraId="40E25F51"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Hauts-de-France</w:t>
            </w:r>
          </w:p>
        </w:tc>
      </w:tr>
      <w:tr w:rsidR="00221C70" w:rsidRPr="00221C70" w14:paraId="30D0BF32"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1A39D228"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LIMOGES</w:t>
            </w:r>
          </w:p>
        </w:tc>
        <w:tc>
          <w:tcPr>
            <w:tcW w:w="1252" w:type="pct"/>
            <w:noWrap/>
            <w:hideMark/>
          </w:tcPr>
          <w:p w14:paraId="373FFF9B"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22</w:t>
            </w:r>
          </w:p>
        </w:tc>
        <w:tc>
          <w:tcPr>
            <w:tcW w:w="2046" w:type="pct"/>
            <w:noWrap/>
            <w:hideMark/>
          </w:tcPr>
          <w:p w14:paraId="2D3DA431"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Nouvelle-Aquitaine</w:t>
            </w:r>
          </w:p>
        </w:tc>
      </w:tr>
      <w:tr w:rsidR="00221C70" w:rsidRPr="00221C70" w14:paraId="26C24BDB"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5343C15F"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LYON</w:t>
            </w:r>
          </w:p>
        </w:tc>
        <w:tc>
          <w:tcPr>
            <w:tcW w:w="1252" w:type="pct"/>
            <w:noWrap/>
            <w:hideMark/>
          </w:tcPr>
          <w:p w14:paraId="695E3C0A"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10</w:t>
            </w:r>
          </w:p>
        </w:tc>
        <w:tc>
          <w:tcPr>
            <w:tcW w:w="2046" w:type="pct"/>
            <w:noWrap/>
            <w:hideMark/>
          </w:tcPr>
          <w:p w14:paraId="5F32465D" w14:textId="77777777" w:rsidR="00221C70" w:rsidRPr="00221C70" w:rsidRDefault="00CF719B"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Auvergne-Rhône-Alpes</w:t>
            </w:r>
          </w:p>
        </w:tc>
      </w:tr>
      <w:tr w:rsidR="00221C70" w:rsidRPr="00221C70" w14:paraId="2AE83DF4"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06E4E3E2"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MARTINIQUE</w:t>
            </w:r>
          </w:p>
        </w:tc>
        <w:tc>
          <w:tcPr>
            <w:tcW w:w="1252" w:type="pct"/>
            <w:noWrap/>
            <w:hideMark/>
          </w:tcPr>
          <w:p w14:paraId="160707FB"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31</w:t>
            </w:r>
          </w:p>
        </w:tc>
        <w:tc>
          <w:tcPr>
            <w:tcW w:w="2046" w:type="pct"/>
            <w:noWrap/>
            <w:hideMark/>
          </w:tcPr>
          <w:p w14:paraId="26C9E879"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Martinique</w:t>
            </w:r>
          </w:p>
        </w:tc>
      </w:tr>
      <w:tr w:rsidR="00221C70" w:rsidRPr="00221C70" w14:paraId="15B91D9E"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2A9D84DF"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MAYOTTE</w:t>
            </w:r>
          </w:p>
        </w:tc>
        <w:tc>
          <w:tcPr>
            <w:tcW w:w="1252" w:type="pct"/>
            <w:noWrap/>
            <w:hideMark/>
          </w:tcPr>
          <w:p w14:paraId="77FF2092"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43</w:t>
            </w:r>
          </w:p>
        </w:tc>
        <w:tc>
          <w:tcPr>
            <w:tcW w:w="2046" w:type="pct"/>
            <w:noWrap/>
            <w:hideMark/>
          </w:tcPr>
          <w:p w14:paraId="11917EC6"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Mayotte</w:t>
            </w:r>
          </w:p>
        </w:tc>
      </w:tr>
      <w:tr w:rsidR="00221C70" w:rsidRPr="00221C70" w14:paraId="4A341219"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79B1E5E6"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MONTPELLIER</w:t>
            </w:r>
          </w:p>
        </w:tc>
        <w:tc>
          <w:tcPr>
            <w:tcW w:w="1252" w:type="pct"/>
            <w:noWrap/>
            <w:hideMark/>
          </w:tcPr>
          <w:p w14:paraId="38CDAEE7"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11</w:t>
            </w:r>
          </w:p>
        </w:tc>
        <w:tc>
          <w:tcPr>
            <w:tcW w:w="2046" w:type="pct"/>
            <w:noWrap/>
            <w:hideMark/>
          </w:tcPr>
          <w:p w14:paraId="45BBA19E"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Occitanie</w:t>
            </w:r>
          </w:p>
        </w:tc>
      </w:tr>
      <w:tr w:rsidR="00221C70" w:rsidRPr="00221C70" w14:paraId="4ADBF2C3"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4AA731E8"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NANCY-METZ</w:t>
            </w:r>
          </w:p>
        </w:tc>
        <w:tc>
          <w:tcPr>
            <w:tcW w:w="1252" w:type="pct"/>
            <w:noWrap/>
            <w:hideMark/>
          </w:tcPr>
          <w:p w14:paraId="0B326F8B"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12</w:t>
            </w:r>
          </w:p>
        </w:tc>
        <w:tc>
          <w:tcPr>
            <w:tcW w:w="2046" w:type="pct"/>
            <w:noWrap/>
            <w:hideMark/>
          </w:tcPr>
          <w:p w14:paraId="28EDEE4E"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Grand-Est</w:t>
            </w:r>
          </w:p>
        </w:tc>
      </w:tr>
      <w:tr w:rsidR="00221C70" w:rsidRPr="00221C70" w14:paraId="73B1B733"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72FD072B"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NANTES</w:t>
            </w:r>
          </w:p>
        </w:tc>
        <w:tc>
          <w:tcPr>
            <w:tcW w:w="1252" w:type="pct"/>
            <w:noWrap/>
            <w:hideMark/>
          </w:tcPr>
          <w:p w14:paraId="7008DEC6"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17</w:t>
            </w:r>
          </w:p>
        </w:tc>
        <w:tc>
          <w:tcPr>
            <w:tcW w:w="2046" w:type="pct"/>
            <w:noWrap/>
            <w:hideMark/>
          </w:tcPr>
          <w:p w14:paraId="1F575056"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Pays de la Loire</w:t>
            </w:r>
          </w:p>
        </w:tc>
      </w:tr>
      <w:tr w:rsidR="00221C70" w:rsidRPr="00221C70" w14:paraId="10375BE1"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03CE1611"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NICE</w:t>
            </w:r>
          </w:p>
        </w:tc>
        <w:tc>
          <w:tcPr>
            <w:tcW w:w="1252" w:type="pct"/>
            <w:noWrap/>
            <w:hideMark/>
          </w:tcPr>
          <w:p w14:paraId="14314B71"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23</w:t>
            </w:r>
          </w:p>
        </w:tc>
        <w:tc>
          <w:tcPr>
            <w:tcW w:w="2046" w:type="pct"/>
            <w:noWrap/>
            <w:hideMark/>
          </w:tcPr>
          <w:p w14:paraId="4227E98B" w14:textId="77777777" w:rsidR="00221C70" w:rsidRPr="00221C70" w:rsidRDefault="00CF719B"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Provence-Alpes-Côte d’Azur</w:t>
            </w:r>
          </w:p>
        </w:tc>
      </w:tr>
      <w:tr w:rsidR="00221C70" w:rsidRPr="00221C70" w14:paraId="3966D9FA"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36CC8D2C"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ORLEANS-TOURS</w:t>
            </w:r>
          </w:p>
        </w:tc>
        <w:tc>
          <w:tcPr>
            <w:tcW w:w="1252" w:type="pct"/>
            <w:noWrap/>
            <w:hideMark/>
          </w:tcPr>
          <w:p w14:paraId="6050A0EE"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18</w:t>
            </w:r>
          </w:p>
        </w:tc>
        <w:tc>
          <w:tcPr>
            <w:tcW w:w="2046" w:type="pct"/>
            <w:noWrap/>
            <w:hideMark/>
          </w:tcPr>
          <w:p w14:paraId="103AC366"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Centre-Val de Loire</w:t>
            </w:r>
          </w:p>
        </w:tc>
      </w:tr>
      <w:tr w:rsidR="00221C70" w:rsidRPr="00221C70" w14:paraId="0B6B1277"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39C50EF5"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PARIS</w:t>
            </w:r>
          </w:p>
        </w:tc>
        <w:tc>
          <w:tcPr>
            <w:tcW w:w="1252" w:type="pct"/>
            <w:noWrap/>
            <w:hideMark/>
          </w:tcPr>
          <w:p w14:paraId="57DB9D40"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01</w:t>
            </w:r>
          </w:p>
        </w:tc>
        <w:tc>
          <w:tcPr>
            <w:tcW w:w="2046" w:type="pct"/>
            <w:noWrap/>
            <w:hideMark/>
          </w:tcPr>
          <w:p w14:paraId="1F2C8EB2" w14:textId="77777777" w:rsidR="00221C70" w:rsidRPr="00221C70" w:rsidRDefault="00CF719B"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Île-de-France</w:t>
            </w:r>
          </w:p>
        </w:tc>
      </w:tr>
      <w:tr w:rsidR="00221C70" w:rsidRPr="00221C70" w14:paraId="7BADBFB7"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25B023DE"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POITIERS</w:t>
            </w:r>
          </w:p>
        </w:tc>
        <w:tc>
          <w:tcPr>
            <w:tcW w:w="1252" w:type="pct"/>
            <w:noWrap/>
            <w:hideMark/>
          </w:tcPr>
          <w:p w14:paraId="715CBDCF"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13</w:t>
            </w:r>
          </w:p>
        </w:tc>
        <w:tc>
          <w:tcPr>
            <w:tcW w:w="2046" w:type="pct"/>
            <w:noWrap/>
            <w:hideMark/>
          </w:tcPr>
          <w:p w14:paraId="0DEA96F4"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Nouvelle-Aquitaine</w:t>
            </w:r>
          </w:p>
        </w:tc>
      </w:tr>
      <w:tr w:rsidR="00221C70" w:rsidRPr="00221C70" w14:paraId="2D7BC32A"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53A0CEB5"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REIMS</w:t>
            </w:r>
          </w:p>
        </w:tc>
        <w:tc>
          <w:tcPr>
            <w:tcW w:w="1252" w:type="pct"/>
            <w:noWrap/>
            <w:hideMark/>
          </w:tcPr>
          <w:p w14:paraId="5B26E013"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19</w:t>
            </w:r>
          </w:p>
        </w:tc>
        <w:tc>
          <w:tcPr>
            <w:tcW w:w="2046" w:type="pct"/>
            <w:noWrap/>
            <w:hideMark/>
          </w:tcPr>
          <w:p w14:paraId="7D6F2F6F"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Grand-Est</w:t>
            </w:r>
          </w:p>
        </w:tc>
      </w:tr>
      <w:tr w:rsidR="00221C70" w:rsidRPr="00221C70" w14:paraId="5E624045"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7FFAF640"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RENNES</w:t>
            </w:r>
          </w:p>
        </w:tc>
        <w:tc>
          <w:tcPr>
            <w:tcW w:w="1252" w:type="pct"/>
            <w:noWrap/>
            <w:hideMark/>
          </w:tcPr>
          <w:p w14:paraId="59C5E6D7"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14</w:t>
            </w:r>
          </w:p>
        </w:tc>
        <w:tc>
          <w:tcPr>
            <w:tcW w:w="2046" w:type="pct"/>
            <w:noWrap/>
            <w:hideMark/>
          </w:tcPr>
          <w:p w14:paraId="1835AE09"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Bretagne</w:t>
            </w:r>
          </w:p>
        </w:tc>
      </w:tr>
      <w:tr w:rsidR="00221C70" w:rsidRPr="00221C70" w14:paraId="58773162"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6EFB6410"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STRASBOURG</w:t>
            </w:r>
          </w:p>
        </w:tc>
        <w:tc>
          <w:tcPr>
            <w:tcW w:w="1252" w:type="pct"/>
            <w:noWrap/>
            <w:hideMark/>
          </w:tcPr>
          <w:p w14:paraId="3D3AB79E"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15</w:t>
            </w:r>
          </w:p>
        </w:tc>
        <w:tc>
          <w:tcPr>
            <w:tcW w:w="2046" w:type="pct"/>
            <w:noWrap/>
            <w:hideMark/>
          </w:tcPr>
          <w:p w14:paraId="10A30157"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Grand-Est</w:t>
            </w:r>
          </w:p>
        </w:tc>
      </w:tr>
      <w:tr w:rsidR="00221C70" w:rsidRPr="00221C70" w14:paraId="1794B09A"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6FAE6114"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TOULOUSE</w:t>
            </w:r>
          </w:p>
        </w:tc>
        <w:tc>
          <w:tcPr>
            <w:tcW w:w="1252" w:type="pct"/>
            <w:noWrap/>
            <w:hideMark/>
          </w:tcPr>
          <w:p w14:paraId="0FCF2C5D"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16</w:t>
            </w:r>
          </w:p>
        </w:tc>
        <w:tc>
          <w:tcPr>
            <w:tcW w:w="2046" w:type="pct"/>
            <w:noWrap/>
            <w:hideMark/>
          </w:tcPr>
          <w:p w14:paraId="19E59513" w14:textId="77777777" w:rsidR="00221C70" w:rsidRPr="00221C70" w:rsidRDefault="00221C70"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Occitanie</w:t>
            </w:r>
          </w:p>
        </w:tc>
      </w:tr>
      <w:tr w:rsidR="00221C70" w:rsidRPr="00221C70" w14:paraId="441C0EC2" w14:textId="77777777" w:rsidTr="007F73F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hideMark/>
          </w:tcPr>
          <w:p w14:paraId="3E47CE59" w14:textId="77777777" w:rsidR="00221C70" w:rsidRPr="00221C70" w:rsidRDefault="00221C70" w:rsidP="001F0C5A">
            <w:pPr>
              <w:jc w:val="center"/>
              <w:rPr>
                <w:rFonts w:ascii="Calibri" w:eastAsia="Times New Roman" w:hAnsi="Calibri" w:cs="Calibri"/>
                <w:color w:val="000000"/>
                <w:lang w:eastAsia="fr-FR"/>
              </w:rPr>
            </w:pPr>
            <w:r w:rsidRPr="00221C70">
              <w:rPr>
                <w:rFonts w:ascii="Calibri" w:eastAsia="Times New Roman" w:hAnsi="Calibri" w:cs="Calibri"/>
                <w:color w:val="000000"/>
                <w:lang w:eastAsia="fr-FR"/>
              </w:rPr>
              <w:t>VERSAILLES</w:t>
            </w:r>
          </w:p>
        </w:tc>
        <w:tc>
          <w:tcPr>
            <w:tcW w:w="1252" w:type="pct"/>
            <w:noWrap/>
            <w:hideMark/>
          </w:tcPr>
          <w:p w14:paraId="63C41455" w14:textId="77777777" w:rsidR="00221C70" w:rsidRPr="00221C70" w:rsidRDefault="00221C70"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sidRPr="00221C70">
              <w:rPr>
                <w:rFonts w:ascii="Calibri" w:eastAsia="Times New Roman" w:hAnsi="Calibri" w:cs="Calibri"/>
                <w:color w:val="000000"/>
                <w:lang w:eastAsia="fr-FR"/>
              </w:rPr>
              <w:t>25</w:t>
            </w:r>
          </w:p>
        </w:tc>
        <w:tc>
          <w:tcPr>
            <w:tcW w:w="2046" w:type="pct"/>
            <w:noWrap/>
            <w:hideMark/>
          </w:tcPr>
          <w:p w14:paraId="744CDF36" w14:textId="77777777" w:rsidR="00221C70" w:rsidRPr="00221C70" w:rsidRDefault="00CF719B" w:rsidP="001F0C5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Île-de-France</w:t>
            </w:r>
          </w:p>
        </w:tc>
      </w:tr>
      <w:tr w:rsidR="00F25F6B" w:rsidRPr="00221C70" w14:paraId="58C1E024" w14:textId="77777777" w:rsidTr="007F73FB">
        <w:trPr>
          <w:trHeight w:val="300"/>
        </w:trPr>
        <w:tc>
          <w:tcPr>
            <w:cnfStyle w:val="001000000000" w:firstRow="0" w:lastRow="0" w:firstColumn="1" w:lastColumn="0" w:oddVBand="0" w:evenVBand="0" w:oddHBand="0" w:evenHBand="0" w:firstRowFirstColumn="0" w:firstRowLastColumn="0" w:lastRowFirstColumn="0" w:lastRowLastColumn="0"/>
            <w:tcW w:w="1702" w:type="pct"/>
          </w:tcPr>
          <w:p w14:paraId="036EF0F0" w14:textId="022D4B2E" w:rsidR="00F25F6B" w:rsidRPr="007F73FB" w:rsidRDefault="00F25F6B" w:rsidP="007F73FB">
            <w:pPr>
              <w:jc w:val="center"/>
              <w:rPr>
                <w:rFonts w:ascii="Calibri" w:eastAsia="Times New Roman" w:hAnsi="Calibri" w:cs="Calibri"/>
                <w:color w:val="000000"/>
                <w:lang w:eastAsia="fr-FR"/>
              </w:rPr>
            </w:pPr>
            <w:r>
              <w:rPr>
                <w:rFonts w:ascii="Calibri" w:eastAsia="Times New Roman" w:hAnsi="Calibri" w:cs="Calibri"/>
                <w:color w:val="000000"/>
                <w:lang w:eastAsia="fr-FR"/>
              </w:rPr>
              <w:t>NORMANDIE</w:t>
            </w:r>
          </w:p>
        </w:tc>
        <w:tc>
          <w:tcPr>
            <w:tcW w:w="1252" w:type="pct"/>
            <w:noWrap/>
          </w:tcPr>
          <w:p w14:paraId="521DCD1A" w14:textId="77777777" w:rsidR="00F25F6B" w:rsidRPr="00221C70" w:rsidRDefault="00F25F6B"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26</w:t>
            </w:r>
          </w:p>
        </w:tc>
        <w:tc>
          <w:tcPr>
            <w:tcW w:w="2046" w:type="pct"/>
            <w:noWrap/>
          </w:tcPr>
          <w:p w14:paraId="5C5234D6" w14:textId="77777777" w:rsidR="00F25F6B" w:rsidRDefault="00F25F6B" w:rsidP="001F0C5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fr-FR"/>
              </w:rPr>
            </w:pPr>
            <w:r>
              <w:rPr>
                <w:rFonts w:ascii="Calibri" w:eastAsia="Times New Roman" w:hAnsi="Calibri" w:cs="Calibri"/>
                <w:color w:val="000000"/>
                <w:lang w:eastAsia="fr-FR"/>
              </w:rPr>
              <w:t>Normandie</w:t>
            </w:r>
          </w:p>
        </w:tc>
      </w:tr>
    </w:tbl>
    <w:p w14:paraId="20C09C39" w14:textId="77777777" w:rsidR="00221C70" w:rsidRDefault="00221C70" w:rsidP="00122984">
      <w:pPr>
        <w:spacing w:after="0"/>
        <w:jc w:val="both"/>
      </w:pPr>
    </w:p>
    <w:p w14:paraId="497A4C34" w14:textId="77777777" w:rsidR="000D5BBC" w:rsidRDefault="000D5BBC">
      <w:pPr>
        <w:spacing w:after="0"/>
        <w:jc w:val="both"/>
      </w:pPr>
    </w:p>
    <w:sectPr w:rsidR="000D5B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24792"/>
    <w:multiLevelType w:val="hybridMultilevel"/>
    <w:tmpl w:val="C0DC6136"/>
    <w:lvl w:ilvl="0" w:tplc="985A34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AE7"/>
    <w:rsid w:val="00070C9E"/>
    <w:rsid w:val="000C093A"/>
    <w:rsid w:val="000D5BBC"/>
    <w:rsid w:val="000F2F8C"/>
    <w:rsid w:val="000F3660"/>
    <w:rsid w:val="00122984"/>
    <w:rsid w:val="001333DF"/>
    <w:rsid w:val="001422D5"/>
    <w:rsid w:val="00161698"/>
    <w:rsid w:val="00162A2E"/>
    <w:rsid w:val="001B6F12"/>
    <w:rsid w:val="001B700A"/>
    <w:rsid w:val="001F0C5A"/>
    <w:rsid w:val="00221C70"/>
    <w:rsid w:val="00246446"/>
    <w:rsid w:val="003173A5"/>
    <w:rsid w:val="0036021A"/>
    <w:rsid w:val="00384EF0"/>
    <w:rsid w:val="003A7EDD"/>
    <w:rsid w:val="003F082B"/>
    <w:rsid w:val="004439C5"/>
    <w:rsid w:val="00443BD5"/>
    <w:rsid w:val="004A6AE7"/>
    <w:rsid w:val="004F1FFE"/>
    <w:rsid w:val="00504425"/>
    <w:rsid w:val="00570DFA"/>
    <w:rsid w:val="005D5C29"/>
    <w:rsid w:val="00666C9B"/>
    <w:rsid w:val="006A56A8"/>
    <w:rsid w:val="006A64F9"/>
    <w:rsid w:val="006C3557"/>
    <w:rsid w:val="00706917"/>
    <w:rsid w:val="00736B58"/>
    <w:rsid w:val="00782D46"/>
    <w:rsid w:val="007E13A0"/>
    <w:rsid w:val="007F73FB"/>
    <w:rsid w:val="00801F60"/>
    <w:rsid w:val="00807A3B"/>
    <w:rsid w:val="008732FE"/>
    <w:rsid w:val="008918BD"/>
    <w:rsid w:val="00925ADF"/>
    <w:rsid w:val="0098096F"/>
    <w:rsid w:val="009B58BF"/>
    <w:rsid w:val="009C2F78"/>
    <w:rsid w:val="009D2414"/>
    <w:rsid w:val="009E0753"/>
    <w:rsid w:val="00A303A9"/>
    <w:rsid w:val="00A97B79"/>
    <w:rsid w:val="00AE44F0"/>
    <w:rsid w:val="00AF6746"/>
    <w:rsid w:val="00B15343"/>
    <w:rsid w:val="00B91C08"/>
    <w:rsid w:val="00BD1E4B"/>
    <w:rsid w:val="00C31BDE"/>
    <w:rsid w:val="00CF719B"/>
    <w:rsid w:val="00DD3729"/>
    <w:rsid w:val="00DE311C"/>
    <w:rsid w:val="00DF6CC4"/>
    <w:rsid w:val="00E066E6"/>
    <w:rsid w:val="00E2700E"/>
    <w:rsid w:val="00E37C0E"/>
    <w:rsid w:val="00E65637"/>
    <w:rsid w:val="00E724AA"/>
    <w:rsid w:val="00E8770E"/>
    <w:rsid w:val="00E97590"/>
    <w:rsid w:val="00EE0724"/>
    <w:rsid w:val="00EE53CA"/>
    <w:rsid w:val="00EE6D83"/>
    <w:rsid w:val="00EF5A3C"/>
    <w:rsid w:val="00F25F6B"/>
    <w:rsid w:val="00F8791A"/>
    <w:rsid w:val="00FA6116"/>
    <w:rsid w:val="00FB47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8516"/>
  <w15:chartTrackingRefBased/>
  <w15:docId w15:val="{907F92FC-1369-4161-805D-8098B624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5ADF"/>
    <w:pPr>
      <w:ind w:left="720"/>
      <w:contextualSpacing/>
    </w:pPr>
  </w:style>
  <w:style w:type="character" w:styleId="Textedelespacerserv">
    <w:name w:val="Placeholder Text"/>
    <w:basedOn w:val="Policepardfaut"/>
    <w:uiPriority w:val="99"/>
    <w:semiHidden/>
    <w:rsid w:val="0036021A"/>
    <w:rPr>
      <w:color w:val="808080"/>
    </w:rPr>
  </w:style>
  <w:style w:type="table" w:styleId="TableauGrille4-Accentuation5">
    <w:name w:val="Grid Table 4 Accent 5"/>
    <w:basedOn w:val="TableauNormal"/>
    <w:uiPriority w:val="49"/>
    <w:rsid w:val="001F0C5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Marquedecommentaire">
    <w:name w:val="annotation reference"/>
    <w:basedOn w:val="Policepardfaut"/>
    <w:uiPriority w:val="99"/>
    <w:semiHidden/>
    <w:unhideWhenUsed/>
    <w:rsid w:val="004F1FFE"/>
    <w:rPr>
      <w:sz w:val="16"/>
      <w:szCs w:val="16"/>
    </w:rPr>
  </w:style>
  <w:style w:type="paragraph" w:styleId="Commentaire">
    <w:name w:val="annotation text"/>
    <w:basedOn w:val="Normal"/>
    <w:link w:val="CommentaireCar"/>
    <w:uiPriority w:val="99"/>
    <w:semiHidden/>
    <w:unhideWhenUsed/>
    <w:rsid w:val="004F1FFE"/>
    <w:pPr>
      <w:spacing w:line="240" w:lineRule="auto"/>
    </w:pPr>
    <w:rPr>
      <w:sz w:val="20"/>
      <w:szCs w:val="20"/>
    </w:rPr>
  </w:style>
  <w:style w:type="character" w:customStyle="1" w:styleId="CommentaireCar">
    <w:name w:val="Commentaire Car"/>
    <w:basedOn w:val="Policepardfaut"/>
    <w:link w:val="Commentaire"/>
    <w:uiPriority w:val="99"/>
    <w:semiHidden/>
    <w:rsid w:val="004F1FFE"/>
    <w:rPr>
      <w:sz w:val="20"/>
      <w:szCs w:val="20"/>
    </w:rPr>
  </w:style>
  <w:style w:type="paragraph" w:styleId="Objetducommentaire">
    <w:name w:val="annotation subject"/>
    <w:basedOn w:val="Commentaire"/>
    <w:next w:val="Commentaire"/>
    <w:link w:val="ObjetducommentaireCar"/>
    <w:uiPriority w:val="99"/>
    <w:semiHidden/>
    <w:unhideWhenUsed/>
    <w:rsid w:val="004F1FFE"/>
    <w:rPr>
      <w:b/>
      <w:bCs/>
    </w:rPr>
  </w:style>
  <w:style w:type="character" w:customStyle="1" w:styleId="ObjetducommentaireCar">
    <w:name w:val="Objet du commentaire Car"/>
    <w:basedOn w:val="CommentaireCar"/>
    <w:link w:val="Objetducommentaire"/>
    <w:uiPriority w:val="99"/>
    <w:semiHidden/>
    <w:rsid w:val="004F1FFE"/>
    <w:rPr>
      <w:b/>
      <w:bCs/>
      <w:sz w:val="20"/>
      <w:szCs w:val="20"/>
    </w:rPr>
  </w:style>
  <w:style w:type="paragraph" w:styleId="Textedebulles">
    <w:name w:val="Balloon Text"/>
    <w:basedOn w:val="Normal"/>
    <w:link w:val="TextedebullesCar"/>
    <w:uiPriority w:val="99"/>
    <w:semiHidden/>
    <w:unhideWhenUsed/>
    <w:rsid w:val="004F1F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1FFE"/>
    <w:rPr>
      <w:rFonts w:ascii="Segoe UI" w:hAnsi="Segoe UI" w:cs="Segoe UI"/>
      <w:sz w:val="18"/>
      <w:szCs w:val="18"/>
    </w:rPr>
  </w:style>
  <w:style w:type="table" w:styleId="Grilledutableau">
    <w:name w:val="Table Grid"/>
    <w:basedOn w:val="TableauNormal"/>
    <w:uiPriority w:val="39"/>
    <w:rsid w:val="000C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semiHidden/>
    <w:unhideWhenUsed/>
    <w:rsid w:val="000C093A"/>
    <w:pPr>
      <w:spacing w:after="0" w:line="240" w:lineRule="auto"/>
    </w:pPr>
    <w:rPr>
      <w:rFonts w:eastAsia="Times New Roman" w:cs="Times New Roman"/>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Lines="0" w:before="0" w:beforeAutospacing="0" w:afterLines="0" w:after="0" w:afterAutospacing="0"/>
      </w:pPr>
      <w:rPr>
        <w:rFonts w:ascii="Calibri" w:hAnsi="Calibri" w:cs="Times New Roman" w:hint="default"/>
        <w:b/>
        <w:bCs/>
        <w:color w:val="FFFFFF" w:themeColor="background1"/>
      </w:rPr>
      <w:tblPr/>
      <w:tcPr>
        <w:shd w:val="clear" w:color="auto" w:fill="5B9BD5" w:themeFill="accent1"/>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rPr>
        <w:rFonts w:ascii="Calibri" w:hAnsi="Calibri" w:cs="Times New Roman" w:hint="default"/>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60904">
      <w:bodyDiv w:val="1"/>
      <w:marLeft w:val="0"/>
      <w:marRight w:val="0"/>
      <w:marTop w:val="0"/>
      <w:marBottom w:val="0"/>
      <w:divBdr>
        <w:top w:val="none" w:sz="0" w:space="0" w:color="auto"/>
        <w:left w:val="none" w:sz="0" w:space="0" w:color="auto"/>
        <w:bottom w:val="none" w:sz="0" w:space="0" w:color="auto"/>
        <w:right w:val="none" w:sz="0" w:space="0" w:color="auto"/>
      </w:divBdr>
    </w:div>
    <w:div w:id="735518986">
      <w:bodyDiv w:val="1"/>
      <w:marLeft w:val="0"/>
      <w:marRight w:val="0"/>
      <w:marTop w:val="0"/>
      <w:marBottom w:val="0"/>
      <w:divBdr>
        <w:top w:val="none" w:sz="0" w:space="0" w:color="auto"/>
        <w:left w:val="none" w:sz="0" w:space="0" w:color="auto"/>
        <w:bottom w:val="none" w:sz="0" w:space="0" w:color="auto"/>
        <w:right w:val="none" w:sz="0" w:space="0" w:color="auto"/>
      </w:divBdr>
    </w:div>
    <w:div w:id="841513115">
      <w:bodyDiv w:val="1"/>
      <w:marLeft w:val="0"/>
      <w:marRight w:val="0"/>
      <w:marTop w:val="0"/>
      <w:marBottom w:val="0"/>
      <w:divBdr>
        <w:top w:val="none" w:sz="0" w:space="0" w:color="auto"/>
        <w:left w:val="none" w:sz="0" w:space="0" w:color="auto"/>
        <w:bottom w:val="none" w:sz="0" w:space="0" w:color="auto"/>
        <w:right w:val="none" w:sz="0" w:space="0" w:color="auto"/>
      </w:divBdr>
    </w:div>
    <w:div w:id="896474909">
      <w:bodyDiv w:val="1"/>
      <w:marLeft w:val="0"/>
      <w:marRight w:val="0"/>
      <w:marTop w:val="0"/>
      <w:marBottom w:val="0"/>
      <w:divBdr>
        <w:top w:val="none" w:sz="0" w:space="0" w:color="auto"/>
        <w:left w:val="none" w:sz="0" w:space="0" w:color="auto"/>
        <w:bottom w:val="none" w:sz="0" w:space="0" w:color="auto"/>
        <w:right w:val="none" w:sz="0" w:space="0" w:color="auto"/>
      </w:divBdr>
    </w:div>
    <w:div w:id="1104114172">
      <w:bodyDiv w:val="1"/>
      <w:marLeft w:val="0"/>
      <w:marRight w:val="0"/>
      <w:marTop w:val="0"/>
      <w:marBottom w:val="0"/>
      <w:divBdr>
        <w:top w:val="none" w:sz="0" w:space="0" w:color="auto"/>
        <w:left w:val="none" w:sz="0" w:space="0" w:color="auto"/>
        <w:bottom w:val="none" w:sz="0" w:space="0" w:color="auto"/>
        <w:right w:val="none" w:sz="0" w:space="0" w:color="auto"/>
      </w:divBdr>
    </w:div>
    <w:div w:id="1464346068">
      <w:bodyDiv w:val="1"/>
      <w:marLeft w:val="0"/>
      <w:marRight w:val="0"/>
      <w:marTop w:val="0"/>
      <w:marBottom w:val="0"/>
      <w:divBdr>
        <w:top w:val="none" w:sz="0" w:space="0" w:color="auto"/>
        <w:left w:val="none" w:sz="0" w:space="0" w:color="auto"/>
        <w:bottom w:val="none" w:sz="0" w:space="0" w:color="auto"/>
        <w:right w:val="none" w:sz="0" w:space="0" w:color="auto"/>
      </w:divBdr>
    </w:div>
    <w:div w:id="1608389784">
      <w:bodyDiv w:val="1"/>
      <w:marLeft w:val="0"/>
      <w:marRight w:val="0"/>
      <w:marTop w:val="0"/>
      <w:marBottom w:val="0"/>
      <w:divBdr>
        <w:top w:val="none" w:sz="0" w:space="0" w:color="auto"/>
        <w:left w:val="none" w:sz="0" w:space="0" w:color="auto"/>
        <w:bottom w:val="none" w:sz="0" w:space="0" w:color="auto"/>
        <w:right w:val="none" w:sz="0" w:space="0" w:color="auto"/>
      </w:divBdr>
    </w:div>
    <w:div w:id="187815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9C212-BC53-4ADD-AA4D-9DA6B626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1513</Words>
  <Characters>8327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Baudry</dc:creator>
  <cp:keywords/>
  <dc:description/>
  <cp:lastModifiedBy>Mathieu Baudry</cp:lastModifiedBy>
  <cp:revision>9</cp:revision>
  <dcterms:created xsi:type="dcterms:W3CDTF">2022-04-19T14:23:00Z</dcterms:created>
  <dcterms:modified xsi:type="dcterms:W3CDTF">2022-04-22T08:22:00Z</dcterms:modified>
</cp:coreProperties>
</file>