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928" w:rsidRPr="00245374" w:rsidRDefault="00463073">
      <w:pPr>
        <w:pStyle w:val="Standard"/>
        <w:jc w:val="center"/>
        <w:rPr>
          <w:rFonts w:asciiTheme="minorHAnsi" w:hAnsiTheme="minorHAnsi" w:cstheme="minorHAnsi"/>
        </w:rPr>
      </w:pPr>
      <w:r w:rsidRPr="00463073">
        <w:rPr>
          <w:rFonts w:asciiTheme="minorHAnsi" w:hAnsiTheme="minorHAnsi" w:cstheme="minorHAnsi"/>
          <w:b/>
          <w:bCs/>
          <w:sz w:val="32"/>
          <w:szCs w:val="32"/>
        </w:rPr>
        <w:t xml:space="preserve">Effectifs d'étudiants inscrits dans les établissements et les formations de l'enseignement supérieur (données </w:t>
      </w:r>
      <w:proofErr w:type="spellStart"/>
      <w:r w:rsidRPr="00463073">
        <w:rPr>
          <w:rFonts w:asciiTheme="minorHAnsi" w:hAnsiTheme="minorHAnsi" w:cstheme="minorHAnsi"/>
          <w:b/>
          <w:bCs/>
          <w:sz w:val="32"/>
          <w:szCs w:val="32"/>
        </w:rPr>
        <w:t>agrégeables</w:t>
      </w:r>
      <w:proofErr w:type="spellEnd"/>
      <w:r w:rsidRPr="00463073">
        <w:rPr>
          <w:rFonts w:asciiTheme="minorHAnsi" w:hAnsiTheme="minorHAnsi" w:cstheme="minorHAnsi"/>
          <w:b/>
          <w:bCs/>
          <w:sz w:val="32"/>
          <w:szCs w:val="32"/>
        </w:rPr>
        <w:t>)</w:t>
      </w:r>
      <w:r w:rsidR="000A7928" w:rsidRPr="00245374">
        <w:rPr>
          <w:rFonts w:asciiTheme="minorHAnsi" w:hAnsiTheme="minorHAnsi" w:cstheme="minorHAnsi"/>
          <w:b/>
          <w:bCs/>
          <w:sz w:val="32"/>
          <w:szCs w:val="32"/>
        </w:rPr>
        <w:t>.</w:t>
      </w:r>
    </w:p>
    <w:p w:rsidR="000A7928" w:rsidRDefault="000A7928">
      <w:pPr>
        <w:pStyle w:val="Standard"/>
        <w:rPr>
          <w:rFonts w:asciiTheme="minorHAnsi" w:hAnsiTheme="minorHAnsi" w:cstheme="minorHAnsi"/>
          <w:szCs w:val="24"/>
        </w:rPr>
      </w:pPr>
      <w:r w:rsidRPr="00245374">
        <w:rPr>
          <w:rFonts w:asciiTheme="minorHAnsi" w:hAnsiTheme="minorHAnsi" w:cstheme="minorHAnsi"/>
          <w:szCs w:val="24"/>
        </w:rPr>
        <w:t>Ce jeu de données présente les effectifs d’étudiants inscrits dans les établissements et les formations de l’enseignement supérieur, recensés dans les systèmes d’information et enquêtes des ministères en charge de l’Éducation nationale, de l’Enseignement supérieur, de l’Agriculture, de la Pêche, de la Santé et des Sports</w:t>
      </w:r>
      <w:r w:rsidR="00417FB0">
        <w:rPr>
          <w:rFonts w:asciiTheme="minorHAnsi" w:hAnsiTheme="minorHAnsi" w:cstheme="minorHAnsi"/>
          <w:szCs w:val="24"/>
        </w:rPr>
        <w:t xml:space="preserve"> selon différents niveaux géographiques</w:t>
      </w:r>
      <w:r w:rsidRPr="00245374">
        <w:rPr>
          <w:rFonts w:asciiTheme="minorHAnsi" w:hAnsiTheme="minorHAnsi" w:cstheme="minorHAnsi"/>
          <w:szCs w:val="24"/>
        </w:rPr>
        <w:t>.</w:t>
      </w:r>
    </w:p>
    <w:p w:rsidR="00417FB0" w:rsidRDefault="00417FB0" w:rsidP="00417FB0">
      <w:pPr>
        <w:rPr>
          <w:rFonts w:cstheme="minorHAnsi"/>
          <w:b/>
          <w:color w:val="FF0000"/>
          <w:szCs w:val="24"/>
          <w:lang w:eastAsia="en-US"/>
        </w:rPr>
      </w:pPr>
      <w:r w:rsidRPr="00417FB0">
        <w:rPr>
          <w:rFonts w:cstheme="minorHAnsi"/>
          <w:b/>
          <w:color w:val="FF0000"/>
          <w:szCs w:val="24"/>
          <w:lang w:eastAsia="en-US"/>
        </w:rPr>
        <w:t>Écoles paramédicales et sociales : données provisoires pour 202</w:t>
      </w:r>
      <w:r>
        <w:rPr>
          <w:rFonts w:cstheme="minorHAnsi"/>
          <w:b/>
          <w:color w:val="FF0000"/>
          <w:szCs w:val="24"/>
          <w:lang w:eastAsia="en-US"/>
        </w:rPr>
        <w:t>3</w:t>
      </w:r>
      <w:r w:rsidRPr="00417FB0">
        <w:rPr>
          <w:rFonts w:cstheme="minorHAnsi"/>
          <w:b/>
          <w:color w:val="FF0000"/>
          <w:szCs w:val="24"/>
          <w:lang w:eastAsia="en-US"/>
        </w:rPr>
        <w:t>-2</w:t>
      </w:r>
      <w:r>
        <w:rPr>
          <w:rFonts w:cstheme="minorHAnsi"/>
          <w:b/>
          <w:color w:val="FF0000"/>
          <w:szCs w:val="24"/>
          <w:lang w:eastAsia="en-US"/>
        </w:rPr>
        <w:t>4</w:t>
      </w:r>
      <w:r w:rsidRPr="00417FB0">
        <w:rPr>
          <w:rFonts w:cstheme="minorHAnsi"/>
          <w:b/>
          <w:color w:val="FF0000"/>
          <w:szCs w:val="24"/>
          <w:lang w:eastAsia="en-US"/>
        </w:rPr>
        <w:t>, do</w:t>
      </w:r>
      <w:r>
        <w:rPr>
          <w:rFonts w:cstheme="minorHAnsi"/>
          <w:b/>
          <w:color w:val="FF0000"/>
          <w:szCs w:val="24"/>
          <w:lang w:eastAsia="en-US"/>
        </w:rPr>
        <w:t>nnées de 2022-2023 reconduites.</w:t>
      </w:r>
    </w:p>
    <w:p w:rsidR="00463073" w:rsidRPr="00463073" w:rsidRDefault="00463073" w:rsidP="00463073">
      <w:pPr>
        <w:pStyle w:val="Standard"/>
        <w:rPr>
          <w:rFonts w:asciiTheme="minorHAnsi" w:hAnsiTheme="minorHAnsi" w:cstheme="minorHAnsi"/>
          <w:szCs w:val="24"/>
        </w:rPr>
      </w:pPr>
      <w:r>
        <w:rPr>
          <w:rFonts w:asciiTheme="minorHAnsi" w:hAnsiTheme="minorHAnsi" w:cstheme="minorHAnsi"/>
          <w:szCs w:val="24"/>
        </w:rPr>
        <w:t xml:space="preserve">Suite à une </w:t>
      </w:r>
      <w:hyperlink r:id="rId5" w:history="1">
        <w:r w:rsidRPr="007412D0">
          <w:rPr>
            <w:rStyle w:val="Lienhypertexte"/>
            <w:rFonts w:asciiTheme="minorHAnsi" w:hAnsiTheme="minorHAnsi" w:cstheme="minorHAnsi"/>
            <w:szCs w:val="24"/>
          </w:rPr>
          <w:t>décision du comité du secret statistique prise en mars 2024</w:t>
        </w:r>
      </w:hyperlink>
      <w:r>
        <w:rPr>
          <w:rFonts w:asciiTheme="minorHAnsi" w:hAnsiTheme="minorHAnsi" w:cstheme="minorHAnsi"/>
          <w:szCs w:val="24"/>
        </w:rPr>
        <w:t xml:space="preserve">, il est désormais possible de diffuser des données statistiques agrégées sur les inscrits dans les écoles et établissements privés de formation d’enseignement supérieur </w:t>
      </w:r>
      <w:r w:rsidRPr="00C844F3">
        <w:rPr>
          <w:rFonts w:asciiTheme="minorHAnsi" w:hAnsiTheme="minorHAnsi" w:cstheme="minorHAnsi"/>
          <w:szCs w:val="24"/>
        </w:rPr>
        <w:t>au regard de leur intérêt pour le public</w:t>
      </w:r>
      <w:r>
        <w:rPr>
          <w:rFonts w:asciiTheme="minorHAnsi" w:hAnsiTheme="minorHAnsi" w:cstheme="minorHAnsi"/>
          <w:szCs w:val="24"/>
        </w:rPr>
        <w:t xml:space="preserve">. </w:t>
      </w:r>
    </w:p>
    <w:p w:rsidR="000A7928" w:rsidRPr="00245374" w:rsidRDefault="000A7928">
      <w:pPr>
        <w:pStyle w:val="Standard"/>
        <w:rPr>
          <w:rFonts w:asciiTheme="minorHAnsi" w:hAnsiTheme="minorHAnsi" w:cstheme="minorHAnsi"/>
          <w:szCs w:val="24"/>
        </w:rPr>
      </w:pPr>
      <w:r w:rsidRPr="00245374">
        <w:rPr>
          <w:rFonts w:asciiTheme="minorHAnsi" w:hAnsiTheme="minorHAnsi" w:cstheme="minorHAnsi"/>
          <w:b/>
          <w:szCs w:val="24"/>
        </w:rPr>
        <w:t>Producteur</w:t>
      </w:r>
      <w:r w:rsidRPr="00245374">
        <w:rPr>
          <w:rFonts w:asciiTheme="minorHAnsi" w:hAnsiTheme="minorHAnsi" w:cstheme="minorHAnsi"/>
          <w:szCs w:val="24"/>
        </w:rPr>
        <w:t xml:space="preserve"> : Ministère de l’Enseignement supérieur</w:t>
      </w:r>
      <w:r w:rsidR="005B0668">
        <w:rPr>
          <w:rFonts w:asciiTheme="minorHAnsi" w:hAnsiTheme="minorHAnsi" w:cstheme="minorHAnsi"/>
          <w:szCs w:val="24"/>
        </w:rPr>
        <w:t xml:space="preserve"> et</w:t>
      </w:r>
      <w:r w:rsidR="00801EB0">
        <w:rPr>
          <w:rFonts w:asciiTheme="minorHAnsi" w:hAnsiTheme="minorHAnsi" w:cstheme="minorHAnsi"/>
          <w:szCs w:val="24"/>
        </w:rPr>
        <w:t xml:space="preserve"> de la Recherche</w:t>
      </w:r>
      <w:r w:rsidRPr="00245374">
        <w:rPr>
          <w:rFonts w:asciiTheme="minorHAnsi" w:hAnsiTheme="minorHAnsi" w:cstheme="minorHAnsi"/>
          <w:szCs w:val="24"/>
        </w:rPr>
        <w:t xml:space="preserve"> &gt; Sous-direction des Systèmes d'information et études statistiques</w:t>
      </w:r>
      <w:r w:rsidRPr="00245374">
        <w:rPr>
          <w:rFonts w:asciiTheme="minorHAnsi" w:hAnsiTheme="minorHAnsi" w:cstheme="minorHAnsi"/>
          <w:szCs w:val="24"/>
        </w:rPr>
        <w:br/>
        <w:t xml:space="preserve">Atlas régional des effectifs d'étudiants : Effectifs d’étudiants inscrits dans les établissements et formations de l’enseignement supérieur par filières, par sexes et par secteurs d'établissement </w:t>
      </w:r>
    </w:p>
    <w:p w:rsidR="000A7928" w:rsidRPr="00245374" w:rsidRDefault="000A7928">
      <w:pPr>
        <w:pStyle w:val="Standard"/>
        <w:rPr>
          <w:rFonts w:asciiTheme="minorHAnsi" w:hAnsiTheme="minorHAnsi" w:cstheme="minorHAnsi"/>
          <w:szCs w:val="24"/>
        </w:rPr>
      </w:pPr>
      <w:r w:rsidRPr="00245374">
        <w:rPr>
          <w:rFonts w:asciiTheme="minorHAnsi" w:hAnsiTheme="minorHAnsi" w:cstheme="minorHAnsi"/>
          <w:b/>
          <w:szCs w:val="24"/>
        </w:rPr>
        <w:t>Période</w:t>
      </w:r>
      <w:r w:rsidR="004D7F77" w:rsidRPr="00245374">
        <w:rPr>
          <w:rFonts w:asciiTheme="minorHAnsi" w:hAnsiTheme="minorHAnsi" w:cstheme="minorHAnsi"/>
          <w:szCs w:val="24"/>
        </w:rPr>
        <w:t xml:space="preserve"> : du 01-09-2001 au 31-08-20</w:t>
      </w:r>
      <w:r w:rsidR="00CE2632">
        <w:rPr>
          <w:rFonts w:asciiTheme="minorHAnsi" w:hAnsiTheme="minorHAnsi" w:cstheme="minorHAnsi"/>
          <w:szCs w:val="24"/>
        </w:rPr>
        <w:t>24</w:t>
      </w:r>
    </w:p>
    <w:p w:rsidR="000A7928" w:rsidRPr="00245374" w:rsidRDefault="000A7928">
      <w:pPr>
        <w:pStyle w:val="Standard"/>
        <w:rPr>
          <w:rFonts w:asciiTheme="minorHAnsi" w:hAnsiTheme="minorHAnsi" w:cstheme="minorHAnsi"/>
          <w:szCs w:val="24"/>
        </w:rPr>
      </w:pPr>
      <w:r w:rsidRPr="00245374">
        <w:rPr>
          <w:rFonts w:asciiTheme="minorHAnsi" w:hAnsiTheme="minorHAnsi" w:cstheme="minorHAnsi"/>
          <w:b/>
          <w:szCs w:val="24"/>
        </w:rPr>
        <w:t>Date de production des données</w:t>
      </w:r>
      <w:r w:rsidR="00472812">
        <w:rPr>
          <w:rFonts w:asciiTheme="minorHAnsi" w:hAnsiTheme="minorHAnsi" w:cstheme="minorHAnsi"/>
          <w:szCs w:val="24"/>
        </w:rPr>
        <w:t xml:space="preserve"> : 18</w:t>
      </w:r>
      <w:r w:rsidR="004D7F77" w:rsidRPr="00245374">
        <w:rPr>
          <w:rFonts w:asciiTheme="minorHAnsi" w:hAnsiTheme="minorHAnsi" w:cstheme="minorHAnsi"/>
          <w:szCs w:val="24"/>
        </w:rPr>
        <w:t>-09-20</w:t>
      </w:r>
      <w:r w:rsidR="00B24530">
        <w:rPr>
          <w:rFonts w:asciiTheme="minorHAnsi" w:hAnsiTheme="minorHAnsi" w:cstheme="minorHAnsi"/>
          <w:szCs w:val="24"/>
        </w:rPr>
        <w:t>2</w:t>
      </w:r>
      <w:r w:rsidR="00CE2632">
        <w:rPr>
          <w:rFonts w:asciiTheme="minorHAnsi" w:hAnsiTheme="minorHAnsi" w:cstheme="minorHAnsi"/>
          <w:szCs w:val="24"/>
        </w:rPr>
        <w:t>4</w:t>
      </w:r>
    </w:p>
    <w:p w:rsidR="000A7928" w:rsidRPr="00245374" w:rsidRDefault="000A7928">
      <w:pPr>
        <w:pStyle w:val="Standard"/>
        <w:rPr>
          <w:rFonts w:asciiTheme="minorHAnsi" w:hAnsiTheme="minorHAnsi" w:cstheme="minorHAnsi"/>
          <w:szCs w:val="24"/>
        </w:rPr>
      </w:pPr>
      <w:r w:rsidRPr="00245374">
        <w:rPr>
          <w:rFonts w:asciiTheme="minorHAnsi" w:hAnsiTheme="minorHAnsi" w:cstheme="minorHAnsi"/>
          <w:b/>
          <w:szCs w:val="24"/>
        </w:rPr>
        <w:t>Licence</w:t>
      </w:r>
      <w:r w:rsidRPr="00245374">
        <w:rPr>
          <w:rFonts w:asciiTheme="minorHAnsi" w:hAnsiTheme="minorHAnsi" w:cstheme="minorHAnsi"/>
          <w:szCs w:val="24"/>
        </w:rPr>
        <w:t xml:space="preserve"> : Licence Ouverte/Open Licence</w:t>
      </w:r>
    </w:p>
    <w:p w:rsidR="000A7928" w:rsidRPr="00245374" w:rsidRDefault="000A7928">
      <w:pPr>
        <w:pStyle w:val="Standard"/>
        <w:rPr>
          <w:rFonts w:asciiTheme="minorHAnsi" w:hAnsiTheme="minorHAnsi" w:cstheme="minorHAnsi"/>
          <w:szCs w:val="24"/>
        </w:rPr>
      </w:pPr>
      <w:r w:rsidRPr="00245374">
        <w:rPr>
          <w:rFonts w:asciiTheme="minorHAnsi" w:hAnsiTheme="minorHAnsi" w:cstheme="minorHAnsi"/>
          <w:b/>
          <w:szCs w:val="24"/>
        </w:rPr>
        <w:t>Langue</w:t>
      </w:r>
      <w:r w:rsidRPr="00245374">
        <w:rPr>
          <w:rFonts w:asciiTheme="minorHAnsi" w:hAnsiTheme="minorHAnsi" w:cstheme="minorHAnsi"/>
          <w:szCs w:val="24"/>
        </w:rPr>
        <w:t xml:space="preserve"> : Français </w:t>
      </w:r>
    </w:p>
    <w:p w:rsidR="000A7928" w:rsidRPr="00245374" w:rsidRDefault="000A7928">
      <w:pPr>
        <w:pStyle w:val="Standard"/>
        <w:rPr>
          <w:rFonts w:asciiTheme="minorHAnsi" w:hAnsiTheme="minorHAnsi" w:cstheme="minorHAnsi"/>
          <w:szCs w:val="24"/>
        </w:rPr>
      </w:pPr>
      <w:r w:rsidRPr="00245374">
        <w:rPr>
          <w:rFonts w:asciiTheme="minorHAnsi" w:hAnsiTheme="minorHAnsi" w:cstheme="minorHAnsi"/>
          <w:b/>
          <w:szCs w:val="24"/>
        </w:rPr>
        <w:t>Couverture géographique</w:t>
      </w:r>
      <w:r w:rsidRPr="00245374">
        <w:rPr>
          <w:rFonts w:asciiTheme="minorHAnsi" w:hAnsiTheme="minorHAnsi" w:cstheme="minorHAnsi"/>
          <w:szCs w:val="24"/>
        </w:rPr>
        <w:t xml:space="preserve"> : France métropolitaine, départements et collectivités d'outre-mer</w:t>
      </w:r>
    </w:p>
    <w:p w:rsidR="000A7928" w:rsidRPr="00245374" w:rsidRDefault="000A7928">
      <w:pPr>
        <w:pStyle w:val="Standard"/>
        <w:rPr>
          <w:rFonts w:asciiTheme="minorHAnsi" w:hAnsiTheme="minorHAnsi" w:cstheme="minorHAnsi"/>
          <w:szCs w:val="24"/>
        </w:rPr>
      </w:pPr>
      <w:r w:rsidRPr="00245374">
        <w:rPr>
          <w:rFonts w:asciiTheme="minorHAnsi" w:hAnsiTheme="minorHAnsi" w:cstheme="minorHAnsi"/>
          <w:b/>
          <w:szCs w:val="24"/>
        </w:rPr>
        <w:t>Niveaux géographiques</w:t>
      </w:r>
      <w:r w:rsidRPr="00245374">
        <w:rPr>
          <w:rFonts w:asciiTheme="minorHAnsi" w:hAnsiTheme="minorHAnsi" w:cstheme="minorHAnsi"/>
          <w:szCs w:val="24"/>
        </w:rPr>
        <w:t xml:space="preserve"> : national, régions, académies, départements, unités urbaines, communes</w:t>
      </w:r>
    </w:p>
    <w:p w:rsidR="000A7928" w:rsidRPr="00245374" w:rsidRDefault="000A7928">
      <w:pPr>
        <w:pStyle w:val="Standard"/>
        <w:rPr>
          <w:rFonts w:asciiTheme="minorHAnsi" w:hAnsiTheme="minorHAnsi" w:cstheme="minorHAnsi"/>
          <w:szCs w:val="24"/>
        </w:rPr>
      </w:pPr>
      <w:r w:rsidRPr="00245374">
        <w:rPr>
          <w:rFonts w:asciiTheme="minorHAnsi" w:hAnsiTheme="minorHAnsi" w:cstheme="minorHAnsi"/>
          <w:b/>
          <w:szCs w:val="24"/>
        </w:rPr>
        <w:t>Mots clés</w:t>
      </w:r>
      <w:r w:rsidRPr="00245374">
        <w:rPr>
          <w:rFonts w:asciiTheme="minorHAnsi" w:hAnsiTheme="minorHAnsi" w:cstheme="minorHAnsi"/>
          <w:szCs w:val="24"/>
        </w:rPr>
        <w:t xml:space="preserve"> : éducation - effectifs supérieur - enseignement supérieur - étudiants - étudiant français</w:t>
      </w:r>
    </w:p>
    <w:p w:rsidR="000A7928" w:rsidRDefault="000A7928">
      <w:pPr>
        <w:pStyle w:val="Standard"/>
        <w:rPr>
          <w:rFonts w:asciiTheme="minorHAnsi" w:hAnsiTheme="minorHAnsi" w:cstheme="minorHAnsi"/>
          <w:b/>
          <w:szCs w:val="24"/>
        </w:rPr>
      </w:pPr>
      <w:r w:rsidRPr="00245374">
        <w:rPr>
          <w:rFonts w:asciiTheme="minorHAnsi" w:hAnsiTheme="minorHAnsi" w:cstheme="minorHAnsi"/>
          <w:b/>
          <w:szCs w:val="24"/>
        </w:rPr>
        <w:t xml:space="preserve">Le jeu de données est disponible à cette </w:t>
      </w:r>
      <w:r w:rsidR="00CE2632" w:rsidRPr="00245374">
        <w:rPr>
          <w:rFonts w:asciiTheme="minorHAnsi" w:hAnsiTheme="minorHAnsi" w:cstheme="minorHAnsi"/>
          <w:b/>
          <w:szCs w:val="24"/>
        </w:rPr>
        <w:t>adresse :</w:t>
      </w:r>
      <w:r w:rsidRPr="00245374">
        <w:rPr>
          <w:rFonts w:asciiTheme="minorHAnsi" w:hAnsiTheme="minorHAnsi" w:cstheme="minorHAnsi"/>
          <w:b/>
          <w:szCs w:val="24"/>
        </w:rPr>
        <w:t xml:space="preserve"> </w:t>
      </w:r>
      <w:r w:rsidR="00463073" w:rsidRPr="00463073">
        <w:rPr>
          <w:rFonts w:asciiTheme="minorHAnsi" w:hAnsiTheme="minorHAnsi" w:cstheme="minorHAnsi"/>
          <w:b/>
          <w:szCs w:val="24"/>
        </w:rPr>
        <w:t>https://data.enseignementsup-recherche.gouv.fr/explore/dataset/fr-esr-atlas_regional-effectifs-d-etudiants-inscrits_agregeables/</w:t>
      </w:r>
    </w:p>
    <w:p w:rsidR="00B24530" w:rsidRPr="007F3EFF" w:rsidRDefault="00B24530" w:rsidP="007F3EFF">
      <w:pPr>
        <w:rPr>
          <w:rFonts w:ascii="Arial" w:hAnsi="Arial" w:cs="Arial"/>
          <w:b/>
          <w:sz w:val="20"/>
        </w:rPr>
      </w:pPr>
      <w:r w:rsidRPr="007F3EFF">
        <w:rPr>
          <w:rFonts w:ascii="Arial" w:hAnsi="Arial" w:cs="Arial"/>
          <w:b/>
          <w:sz w:val="20"/>
        </w:rPr>
        <w:t>Les informations relatives aux unités urbaines ont été actualisés pour l’ensemble des données selon le zonage défini par l’INSEE en 2020.</w:t>
      </w:r>
    </w:p>
    <w:p w:rsidR="000A7928" w:rsidRPr="00245374" w:rsidRDefault="000A7928">
      <w:pPr>
        <w:pStyle w:val="Standard"/>
        <w:rPr>
          <w:rFonts w:asciiTheme="minorHAnsi" w:hAnsiTheme="minorHAnsi" w:cstheme="minorHAnsi"/>
          <w:szCs w:val="24"/>
        </w:rPr>
      </w:pPr>
      <w:r w:rsidRPr="00245374">
        <w:rPr>
          <w:rFonts w:asciiTheme="minorHAnsi" w:hAnsiTheme="minorHAnsi" w:cstheme="minorHAnsi"/>
          <w:b/>
          <w:szCs w:val="24"/>
        </w:rPr>
        <w:t xml:space="preserve">Les jeux de données contiennent </w:t>
      </w:r>
      <w:r w:rsidR="007F3EFF">
        <w:rPr>
          <w:rFonts w:asciiTheme="minorHAnsi" w:hAnsiTheme="minorHAnsi" w:cstheme="minorHAnsi"/>
          <w:b/>
          <w:szCs w:val="24"/>
        </w:rPr>
        <w:t>2</w:t>
      </w:r>
      <w:r w:rsidR="00463073">
        <w:rPr>
          <w:rFonts w:asciiTheme="minorHAnsi" w:hAnsiTheme="minorHAnsi" w:cstheme="minorHAnsi"/>
          <w:b/>
          <w:szCs w:val="24"/>
        </w:rPr>
        <w:t>9</w:t>
      </w:r>
      <w:r w:rsidRPr="00245374">
        <w:rPr>
          <w:rFonts w:asciiTheme="minorHAnsi" w:hAnsiTheme="minorHAnsi" w:cstheme="minorHAnsi"/>
          <w:b/>
          <w:szCs w:val="24"/>
        </w:rPr>
        <w:t xml:space="preserve"> variables :</w:t>
      </w:r>
    </w:p>
    <w:p w:rsidR="00463073" w:rsidRPr="00463073" w:rsidRDefault="000A7928" w:rsidP="00463073">
      <w:pPr>
        <w:pStyle w:val="Standard"/>
        <w:spacing w:after="0"/>
        <w:rPr>
          <w:rFonts w:asciiTheme="minorHAnsi" w:hAnsiTheme="minorHAnsi" w:cstheme="minorHAnsi"/>
          <w:b/>
          <w:szCs w:val="24"/>
        </w:rPr>
      </w:pPr>
      <w:proofErr w:type="spellStart"/>
      <w:r w:rsidRPr="00245374">
        <w:rPr>
          <w:rFonts w:asciiTheme="minorHAnsi" w:hAnsiTheme="minorHAnsi" w:cstheme="minorHAnsi"/>
          <w:b/>
          <w:szCs w:val="24"/>
        </w:rPr>
        <w:t>rentree</w:t>
      </w:r>
      <w:proofErr w:type="spellEnd"/>
      <w:r w:rsidRPr="00245374">
        <w:rPr>
          <w:rFonts w:asciiTheme="minorHAnsi" w:hAnsiTheme="minorHAnsi" w:cstheme="minorHAnsi"/>
          <w:szCs w:val="24"/>
        </w:rPr>
        <w:t xml:space="preserve"> / </w:t>
      </w:r>
      <w:proofErr w:type="spellStart"/>
      <w:r w:rsidR="00E455B7">
        <w:rPr>
          <w:rFonts w:asciiTheme="minorHAnsi" w:hAnsiTheme="minorHAnsi" w:cstheme="minorHAnsi"/>
          <w:b/>
          <w:szCs w:val="24"/>
        </w:rPr>
        <w:t>annee</w:t>
      </w:r>
      <w:r w:rsidRPr="00245374">
        <w:rPr>
          <w:rFonts w:asciiTheme="minorHAnsi" w:hAnsiTheme="minorHAnsi" w:cstheme="minorHAnsi"/>
          <w:b/>
          <w:szCs w:val="24"/>
        </w:rPr>
        <w:t>_universitaire</w:t>
      </w:r>
      <w:proofErr w:type="spellEnd"/>
      <w:r w:rsidR="00E455B7">
        <w:rPr>
          <w:rFonts w:asciiTheme="minorHAnsi" w:hAnsiTheme="minorHAnsi" w:cstheme="minorHAnsi"/>
          <w:b/>
          <w:szCs w:val="24"/>
        </w:rPr>
        <w:t xml:space="preserve"> / </w:t>
      </w:r>
      <w:proofErr w:type="spellStart"/>
      <w:r w:rsidR="00E455B7">
        <w:rPr>
          <w:rFonts w:asciiTheme="minorHAnsi" w:hAnsiTheme="minorHAnsi" w:cstheme="minorHAnsi"/>
          <w:b/>
          <w:szCs w:val="24"/>
        </w:rPr>
        <w:t>annee</w:t>
      </w:r>
      <w:proofErr w:type="spellEnd"/>
      <w:r w:rsidRPr="00245374">
        <w:rPr>
          <w:rFonts w:asciiTheme="minorHAnsi" w:hAnsiTheme="minorHAnsi" w:cstheme="minorHAnsi"/>
          <w:szCs w:val="24"/>
        </w:rPr>
        <w:t>  : Rentrée universitaire</w:t>
      </w:r>
      <w:r w:rsidRPr="00245374">
        <w:rPr>
          <w:rFonts w:asciiTheme="minorHAnsi" w:hAnsiTheme="minorHAnsi" w:cstheme="minorHAnsi"/>
          <w:szCs w:val="24"/>
        </w:rPr>
        <w:br/>
      </w:r>
      <w:r w:rsidR="00463073" w:rsidRPr="00463073">
        <w:rPr>
          <w:rFonts w:asciiTheme="minorHAnsi" w:hAnsiTheme="minorHAnsi" w:cstheme="minorHAnsi"/>
          <w:b/>
          <w:szCs w:val="24"/>
        </w:rPr>
        <w:t>Code commune/Commune</w:t>
      </w:r>
    </w:p>
    <w:p w:rsidR="00463073" w:rsidRPr="00463073" w:rsidRDefault="00463073" w:rsidP="00463073">
      <w:pPr>
        <w:pStyle w:val="Standard"/>
        <w:spacing w:after="0"/>
        <w:rPr>
          <w:rFonts w:asciiTheme="minorHAnsi" w:hAnsiTheme="minorHAnsi" w:cstheme="minorHAnsi"/>
          <w:b/>
          <w:szCs w:val="24"/>
        </w:rPr>
      </w:pPr>
      <w:r w:rsidRPr="00463073">
        <w:rPr>
          <w:rFonts w:asciiTheme="minorHAnsi" w:hAnsiTheme="minorHAnsi" w:cstheme="minorHAnsi"/>
          <w:b/>
          <w:szCs w:val="24"/>
        </w:rPr>
        <w:t>Identifiant de la région/Région</w:t>
      </w:r>
    </w:p>
    <w:p w:rsidR="00463073" w:rsidRPr="00463073" w:rsidRDefault="00463073" w:rsidP="00463073">
      <w:pPr>
        <w:pStyle w:val="Standard"/>
        <w:spacing w:after="0"/>
        <w:rPr>
          <w:rFonts w:asciiTheme="minorHAnsi" w:hAnsiTheme="minorHAnsi" w:cstheme="minorHAnsi"/>
          <w:b/>
          <w:szCs w:val="24"/>
        </w:rPr>
      </w:pPr>
      <w:r w:rsidRPr="00463073">
        <w:rPr>
          <w:rFonts w:asciiTheme="minorHAnsi" w:hAnsiTheme="minorHAnsi" w:cstheme="minorHAnsi"/>
          <w:b/>
          <w:szCs w:val="24"/>
        </w:rPr>
        <w:t>Identifiant de l'académie/Académie</w:t>
      </w:r>
    </w:p>
    <w:p w:rsidR="00463073" w:rsidRPr="00463073" w:rsidRDefault="00463073" w:rsidP="00463073">
      <w:pPr>
        <w:pStyle w:val="Standard"/>
        <w:spacing w:after="0"/>
        <w:rPr>
          <w:rFonts w:asciiTheme="minorHAnsi" w:hAnsiTheme="minorHAnsi" w:cstheme="minorHAnsi"/>
          <w:b/>
          <w:szCs w:val="24"/>
        </w:rPr>
      </w:pPr>
      <w:r w:rsidRPr="00463073">
        <w:rPr>
          <w:rFonts w:asciiTheme="minorHAnsi" w:hAnsiTheme="minorHAnsi" w:cstheme="minorHAnsi"/>
          <w:b/>
          <w:szCs w:val="24"/>
        </w:rPr>
        <w:t>Identifiant du département/Département</w:t>
      </w:r>
    </w:p>
    <w:p w:rsidR="00873E53" w:rsidRDefault="00463073" w:rsidP="00463073">
      <w:pPr>
        <w:pStyle w:val="Standard"/>
        <w:spacing w:after="0"/>
        <w:rPr>
          <w:rFonts w:asciiTheme="minorHAnsi" w:hAnsiTheme="minorHAnsi" w:cstheme="minorHAnsi"/>
          <w:szCs w:val="24"/>
        </w:rPr>
      </w:pPr>
      <w:r w:rsidRPr="00463073">
        <w:rPr>
          <w:rFonts w:asciiTheme="minorHAnsi" w:hAnsiTheme="minorHAnsi" w:cstheme="minorHAnsi"/>
          <w:b/>
          <w:szCs w:val="24"/>
        </w:rPr>
        <w:t>Identifiant de l'unité urbaine/Unité urbaine ou commune rurale</w:t>
      </w:r>
      <w:r>
        <w:rPr>
          <w:rFonts w:asciiTheme="minorHAnsi" w:hAnsiTheme="minorHAnsi" w:cstheme="minorHAnsi"/>
          <w:b/>
          <w:szCs w:val="24"/>
        </w:rPr>
        <w:t xml:space="preserve"> </w:t>
      </w:r>
      <w:r w:rsidR="000A7928" w:rsidRPr="00245374">
        <w:rPr>
          <w:rFonts w:asciiTheme="minorHAnsi" w:hAnsiTheme="minorHAnsi" w:cstheme="minorHAnsi"/>
          <w:szCs w:val="24"/>
        </w:rPr>
        <w:t xml:space="preserve">: </w:t>
      </w:r>
      <w:r>
        <w:rPr>
          <w:rFonts w:asciiTheme="minorHAnsi" w:hAnsiTheme="minorHAnsi" w:cstheme="minorHAnsi"/>
          <w:szCs w:val="24"/>
        </w:rPr>
        <w:t>différents n</w:t>
      </w:r>
      <w:r w:rsidR="000A7928" w:rsidRPr="00245374">
        <w:rPr>
          <w:rFonts w:asciiTheme="minorHAnsi" w:hAnsiTheme="minorHAnsi" w:cstheme="minorHAnsi"/>
          <w:szCs w:val="24"/>
        </w:rPr>
        <w:t>iveau</w:t>
      </w:r>
      <w:r>
        <w:rPr>
          <w:rFonts w:asciiTheme="minorHAnsi" w:hAnsiTheme="minorHAnsi" w:cstheme="minorHAnsi"/>
          <w:szCs w:val="24"/>
        </w:rPr>
        <w:t>x</w:t>
      </w:r>
      <w:r w:rsidR="000A7928" w:rsidRPr="00245374">
        <w:rPr>
          <w:rFonts w:asciiTheme="minorHAnsi" w:hAnsiTheme="minorHAnsi" w:cstheme="minorHAnsi"/>
          <w:szCs w:val="24"/>
        </w:rPr>
        <w:t xml:space="preserve"> géographique</w:t>
      </w:r>
      <w:r>
        <w:rPr>
          <w:rFonts w:asciiTheme="minorHAnsi" w:hAnsiTheme="minorHAnsi" w:cstheme="minorHAnsi"/>
          <w:szCs w:val="24"/>
        </w:rPr>
        <w:t>s</w:t>
      </w:r>
      <w:r w:rsidR="000A7928" w:rsidRPr="00245374">
        <w:rPr>
          <w:rFonts w:asciiTheme="minorHAnsi" w:hAnsiTheme="minorHAnsi" w:cstheme="minorHAnsi"/>
          <w:szCs w:val="24"/>
        </w:rPr>
        <w:br/>
      </w:r>
      <w:r w:rsidR="000A7928" w:rsidRPr="00245374">
        <w:rPr>
          <w:rFonts w:asciiTheme="minorHAnsi" w:hAnsiTheme="minorHAnsi" w:cstheme="minorHAnsi"/>
          <w:b/>
          <w:szCs w:val="24"/>
        </w:rPr>
        <w:lastRenderedPageBreak/>
        <w:t>regroupement</w:t>
      </w:r>
      <w:r w:rsidR="000A7928" w:rsidRPr="00245374">
        <w:rPr>
          <w:rFonts w:asciiTheme="minorHAnsi" w:hAnsiTheme="minorHAnsi" w:cstheme="minorHAnsi"/>
          <w:szCs w:val="24"/>
        </w:rPr>
        <w:t xml:space="preserve"> / </w:t>
      </w:r>
      <w:proofErr w:type="spellStart"/>
      <w:r w:rsidR="000A7928" w:rsidRPr="00245374">
        <w:rPr>
          <w:rFonts w:asciiTheme="minorHAnsi" w:hAnsiTheme="minorHAnsi" w:cstheme="minorHAnsi"/>
          <w:b/>
          <w:szCs w:val="24"/>
        </w:rPr>
        <w:t>rgp_formations_ou_etablissements</w:t>
      </w:r>
      <w:proofErr w:type="spellEnd"/>
      <w:r w:rsidR="000A7928" w:rsidRPr="00245374">
        <w:rPr>
          <w:rFonts w:asciiTheme="minorHAnsi" w:hAnsiTheme="minorHAnsi" w:cstheme="minorHAnsi"/>
          <w:szCs w:val="24"/>
        </w:rPr>
        <w:t>  : Regroupements de formations ou d’établissements (</w:t>
      </w:r>
      <w:proofErr w:type="spellStart"/>
      <w:r w:rsidR="000A7928" w:rsidRPr="00245374">
        <w:rPr>
          <w:rFonts w:asciiTheme="minorHAnsi" w:hAnsiTheme="minorHAnsi" w:cstheme="minorHAnsi"/>
          <w:szCs w:val="24"/>
        </w:rPr>
        <w:t>cf</w:t>
      </w:r>
      <w:proofErr w:type="spellEnd"/>
      <w:r w:rsidR="000A7928" w:rsidRPr="00245374">
        <w:rPr>
          <w:rFonts w:asciiTheme="minorHAnsi" w:hAnsiTheme="minorHAnsi" w:cstheme="minorHAnsi"/>
          <w:szCs w:val="24"/>
        </w:rPr>
        <w:t xml:space="preserve"> tableau en fin de document)</w:t>
      </w:r>
      <w:r w:rsidR="000A7928" w:rsidRPr="00245374">
        <w:rPr>
          <w:rFonts w:asciiTheme="minorHAnsi" w:hAnsiTheme="minorHAnsi" w:cstheme="minorHAnsi"/>
          <w:szCs w:val="24"/>
        </w:rPr>
        <w:br/>
      </w:r>
      <w:r w:rsidR="000A7928" w:rsidRPr="00245374">
        <w:rPr>
          <w:rFonts w:asciiTheme="minorHAnsi" w:hAnsiTheme="minorHAnsi" w:cstheme="minorHAnsi"/>
          <w:b/>
          <w:szCs w:val="24"/>
        </w:rPr>
        <w:t>secteur</w:t>
      </w:r>
      <w:r w:rsidR="000A7928" w:rsidRPr="00245374">
        <w:rPr>
          <w:rFonts w:asciiTheme="minorHAnsi" w:hAnsiTheme="minorHAnsi" w:cstheme="minorHAnsi"/>
          <w:szCs w:val="24"/>
        </w:rPr>
        <w:t xml:space="preserve"> / </w:t>
      </w:r>
      <w:proofErr w:type="spellStart"/>
      <w:r w:rsidR="000A7928" w:rsidRPr="00245374">
        <w:rPr>
          <w:rFonts w:asciiTheme="minorHAnsi" w:hAnsiTheme="minorHAnsi" w:cstheme="minorHAnsi"/>
          <w:b/>
          <w:szCs w:val="24"/>
        </w:rPr>
        <w:t>secteur_de_l_etablissement</w:t>
      </w:r>
      <w:proofErr w:type="spellEnd"/>
      <w:r w:rsidR="000A7928" w:rsidRPr="00245374">
        <w:rPr>
          <w:rFonts w:asciiTheme="minorHAnsi" w:hAnsiTheme="minorHAnsi" w:cstheme="minorHAnsi"/>
          <w:szCs w:val="24"/>
        </w:rPr>
        <w:t>  : Secteur de l’établissement d’inscription</w:t>
      </w:r>
      <w:r w:rsidR="000A7928" w:rsidRPr="00245374">
        <w:rPr>
          <w:rFonts w:asciiTheme="minorHAnsi" w:hAnsiTheme="minorHAnsi" w:cstheme="minorHAnsi"/>
          <w:szCs w:val="24"/>
        </w:rPr>
        <w:br/>
      </w:r>
      <w:r w:rsidR="000A7928" w:rsidRPr="00245374">
        <w:rPr>
          <w:rFonts w:asciiTheme="minorHAnsi" w:hAnsiTheme="minorHAnsi" w:cstheme="minorHAnsi"/>
          <w:b/>
          <w:szCs w:val="24"/>
        </w:rPr>
        <w:t>sexe</w:t>
      </w:r>
      <w:r w:rsidR="000A7928" w:rsidRPr="00245374">
        <w:rPr>
          <w:rFonts w:asciiTheme="minorHAnsi" w:hAnsiTheme="minorHAnsi" w:cstheme="minorHAnsi"/>
          <w:szCs w:val="24"/>
        </w:rPr>
        <w:t xml:space="preserve"> / </w:t>
      </w:r>
      <w:proofErr w:type="spellStart"/>
      <w:r w:rsidR="000A7928" w:rsidRPr="00245374">
        <w:rPr>
          <w:rFonts w:asciiTheme="minorHAnsi" w:hAnsiTheme="minorHAnsi" w:cstheme="minorHAnsi"/>
          <w:b/>
          <w:szCs w:val="24"/>
        </w:rPr>
        <w:t>sexe_de_l_etudiant</w:t>
      </w:r>
      <w:proofErr w:type="spellEnd"/>
      <w:r w:rsidR="000A7928" w:rsidRPr="00245374">
        <w:rPr>
          <w:rFonts w:asciiTheme="minorHAnsi" w:hAnsiTheme="minorHAnsi" w:cstheme="minorHAnsi"/>
          <w:szCs w:val="24"/>
        </w:rPr>
        <w:t>  : Sexe de l’étudiant</w:t>
      </w:r>
      <w:r w:rsidR="000A7928" w:rsidRPr="00245374">
        <w:rPr>
          <w:rFonts w:asciiTheme="minorHAnsi" w:hAnsiTheme="minorHAnsi" w:cstheme="minorHAnsi"/>
          <w:szCs w:val="24"/>
        </w:rPr>
        <w:br/>
      </w:r>
      <w:r w:rsidR="000A7928" w:rsidRPr="00245374">
        <w:rPr>
          <w:rFonts w:asciiTheme="minorHAnsi" w:hAnsiTheme="minorHAnsi" w:cstheme="minorHAnsi"/>
          <w:b/>
          <w:szCs w:val="24"/>
        </w:rPr>
        <w:t>effectif</w:t>
      </w:r>
      <w:r w:rsidR="000A7928" w:rsidRPr="00245374">
        <w:rPr>
          <w:rFonts w:asciiTheme="minorHAnsi" w:hAnsiTheme="minorHAnsi" w:cstheme="minorHAnsi"/>
          <w:szCs w:val="24"/>
        </w:rPr>
        <w:t>  : Nombre d’étudiants inscrits</w:t>
      </w:r>
      <w:r w:rsidR="000A7928" w:rsidRPr="00245374">
        <w:rPr>
          <w:rFonts w:asciiTheme="minorHAnsi" w:hAnsiTheme="minorHAnsi" w:cstheme="minorHAnsi"/>
          <w:szCs w:val="24"/>
        </w:rPr>
        <w:br/>
      </w:r>
      <w:proofErr w:type="spellStart"/>
      <w:r w:rsidR="00C56EA1" w:rsidRPr="00245374">
        <w:rPr>
          <w:rFonts w:asciiTheme="minorHAnsi" w:hAnsiTheme="minorHAnsi" w:cstheme="minorHAnsi"/>
          <w:b/>
          <w:szCs w:val="24"/>
        </w:rPr>
        <w:t>effectifhdccpge</w:t>
      </w:r>
      <w:proofErr w:type="spellEnd"/>
      <w:r w:rsidR="00C56EA1" w:rsidRPr="00245374">
        <w:rPr>
          <w:rFonts w:asciiTheme="minorHAnsi" w:hAnsiTheme="minorHAnsi" w:cstheme="minorHAnsi"/>
          <w:szCs w:val="24"/>
        </w:rPr>
        <w:t xml:space="preserve">  : </w:t>
      </w:r>
      <w:r w:rsidR="00005B9B">
        <w:rPr>
          <w:rFonts w:asciiTheme="minorHAnsi" w:hAnsiTheme="minorHAnsi" w:cstheme="minorHAnsi"/>
          <w:szCs w:val="24"/>
        </w:rPr>
        <w:t>A partir de 201</w:t>
      </w:r>
      <w:r w:rsidR="00E12B2D">
        <w:rPr>
          <w:rFonts w:asciiTheme="minorHAnsi" w:hAnsiTheme="minorHAnsi" w:cstheme="minorHAnsi"/>
          <w:szCs w:val="24"/>
        </w:rPr>
        <w:t>5</w:t>
      </w:r>
      <w:r w:rsidR="00005B9B">
        <w:rPr>
          <w:rFonts w:asciiTheme="minorHAnsi" w:hAnsiTheme="minorHAnsi" w:cstheme="minorHAnsi"/>
          <w:szCs w:val="24"/>
        </w:rPr>
        <w:t>-201</w:t>
      </w:r>
      <w:r w:rsidR="00E12B2D">
        <w:rPr>
          <w:rFonts w:asciiTheme="minorHAnsi" w:hAnsiTheme="minorHAnsi" w:cstheme="minorHAnsi"/>
          <w:szCs w:val="24"/>
        </w:rPr>
        <w:t>6</w:t>
      </w:r>
      <w:r w:rsidR="00245374">
        <w:rPr>
          <w:rFonts w:asciiTheme="minorHAnsi" w:hAnsiTheme="minorHAnsi" w:cstheme="minorHAnsi"/>
          <w:szCs w:val="24"/>
        </w:rPr>
        <w:t>, n</w:t>
      </w:r>
      <w:r w:rsidR="00C56EA1" w:rsidRPr="00245374">
        <w:rPr>
          <w:rFonts w:asciiTheme="minorHAnsi" w:hAnsiTheme="minorHAnsi" w:cstheme="minorHAnsi"/>
          <w:szCs w:val="24"/>
        </w:rPr>
        <w:t>ombre d’étudiants inscrits</w:t>
      </w:r>
      <w:r w:rsidR="00245374">
        <w:rPr>
          <w:rFonts w:asciiTheme="minorHAnsi" w:hAnsiTheme="minorHAnsi" w:cstheme="minorHAnsi"/>
          <w:szCs w:val="24"/>
        </w:rPr>
        <w:t xml:space="preserve"> </w:t>
      </w:r>
      <w:r w:rsidR="00C56EA1" w:rsidRPr="00245374">
        <w:rPr>
          <w:rFonts w:asciiTheme="minorHAnsi" w:hAnsiTheme="minorHAnsi" w:cstheme="minorHAnsi"/>
          <w:szCs w:val="24"/>
        </w:rPr>
        <w:t>hors doubles comptes des inscriptions à l’université et dans quelques autres établissements des étudi</w:t>
      </w:r>
      <w:r w:rsidR="00245374">
        <w:rPr>
          <w:rFonts w:asciiTheme="minorHAnsi" w:hAnsiTheme="minorHAnsi" w:cstheme="minorHAnsi"/>
          <w:szCs w:val="24"/>
        </w:rPr>
        <w:t xml:space="preserve">ants également inscrits en CPGE (dans ces établissements, il peut exister d’autres </w:t>
      </w:r>
      <w:r w:rsidR="00FB3F45">
        <w:rPr>
          <w:rFonts w:asciiTheme="minorHAnsi" w:hAnsiTheme="minorHAnsi" w:cstheme="minorHAnsi"/>
          <w:szCs w:val="24"/>
        </w:rPr>
        <w:t xml:space="preserve">types de </w:t>
      </w:r>
      <w:r w:rsidR="00245374">
        <w:rPr>
          <w:rFonts w:asciiTheme="minorHAnsi" w:hAnsiTheme="minorHAnsi" w:cstheme="minorHAnsi"/>
          <w:szCs w:val="24"/>
        </w:rPr>
        <w:t>doubles inscriptions)</w:t>
      </w:r>
    </w:p>
    <w:p w:rsidR="00A279E6" w:rsidRPr="00245374" w:rsidRDefault="00873E53" w:rsidP="00463073">
      <w:pPr>
        <w:pStyle w:val="Standard"/>
        <w:spacing w:after="0"/>
        <w:rPr>
          <w:rFonts w:asciiTheme="minorHAnsi" w:hAnsiTheme="minorHAnsi" w:cstheme="minorHAnsi"/>
          <w:szCs w:val="24"/>
        </w:rPr>
      </w:pPr>
      <w:proofErr w:type="spellStart"/>
      <w:r>
        <w:rPr>
          <w:rFonts w:asciiTheme="minorHAnsi" w:hAnsiTheme="minorHAnsi" w:cstheme="minorHAnsi"/>
          <w:b/>
          <w:szCs w:val="24"/>
        </w:rPr>
        <w:t>effectif_atlas</w:t>
      </w:r>
      <w:proofErr w:type="spellEnd"/>
      <w:r w:rsidRPr="00245374">
        <w:rPr>
          <w:rFonts w:asciiTheme="minorHAnsi" w:hAnsiTheme="minorHAnsi" w:cstheme="minorHAnsi"/>
          <w:szCs w:val="24"/>
        </w:rPr>
        <w:t xml:space="preserve">  : </w:t>
      </w:r>
      <w:r>
        <w:rPr>
          <w:rFonts w:asciiTheme="minorHAnsi" w:hAnsiTheme="minorHAnsi" w:cstheme="minorHAnsi"/>
          <w:szCs w:val="24"/>
        </w:rPr>
        <w:t>A partir de 2015-2016, n</w:t>
      </w:r>
      <w:r w:rsidRPr="00245374">
        <w:rPr>
          <w:rFonts w:asciiTheme="minorHAnsi" w:hAnsiTheme="minorHAnsi" w:cstheme="minorHAnsi"/>
          <w:szCs w:val="24"/>
        </w:rPr>
        <w:t>ombre d’étudiants inscrits</w:t>
      </w:r>
      <w:r>
        <w:rPr>
          <w:rFonts w:asciiTheme="minorHAnsi" w:hAnsiTheme="minorHAnsi" w:cstheme="minorHAnsi"/>
          <w:szCs w:val="24"/>
        </w:rPr>
        <w:t xml:space="preserve"> </w:t>
      </w:r>
      <w:r w:rsidRPr="00245374">
        <w:rPr>
          <w:rFonts w:asciiTheme="minorHAnsi" w:hAnsiTheme="minorHAnsi" w:cstheme="minorHAnsi"/>
          <w:szCs w:val="24"/>
        </w:rPr>
        <w:t>hors doubles comptes des inscriptions à l’université et dans quelques autres établissements des étudi</w:t>
      </w:r>
      <w:r>
        <w:rPr>
          <w:rFonts w:asciiTheme="minorHAnsi" w:hAnsiTheme="minorHAnsi" w:cstheme="minorHAnsi"/>
          <w:szCs w:val="24"/>
        </w:rPr>
        <w:t>ants également inscrits en CPGE (dans ces établissements, il peut exister d’autres types de doubles inscriptions) mais avant la rentrée 2015 cette variable représente le n</w:t>
      </w:r>
      <w:r w:rsidRPr="00245374">
        <w:rPr>
          <w:rFonts w:asciiTheme="minorHAnsi" w:hAnsiTheme="minorHAnsi" w:cstheme="minorHAnsi"/>
          <w:szCs w:val="24"/>
        </w:rPr>
        <w:t>ombre d’étudiants inscrits</w:t>
      </w:r>
      <w:r>
        <w:rPr>
          <w:rFonts w:asciiTheme="minorHAnsi" w:hAnsiTheme="minorHAnsi" w:cstheme="minorHAnsi"/>
          <w:szCs w:val="24"/>
        </w:rPr>
        <w:t xml:space="preserve"> au total.</w:t>
      </w:r>
      <w:r w:rsidR="00C56EA1" w:rsidRPr="00245374">
        <w:rPr>
          <w:rFonts w:asciiTheme="minorHAnsi" w:hAnsiTheme="minorHAnsi" w:cstheme="minorHAnsi"/>
          <w:szCs w:val="24"/>
        </w:rPr>
        <w:br/>
      </w:r>
      <w:proofErr w:type="spellStart"/>
      <w:r w:rsidR="000A7928" w:rsidRPr="00245374">
        <w:rPr>
          <w:rFonts w:asciiTheme="minorHAnsi" w:hAnsiTheme="minorHAnsi" w:cstheme="minorHAnsi"/>
          <w:b/>
          <w:szCs w:val="24"/>
        </w:rPr>
        <w:t>a_des_effectifs_iut</w:t>
      </w:r>
      <w:proofErr w:type="spellEnd"/>
      <w:r w:rsidR="000A7928" w:rsidRPr="00245374">
        <w:rPr>
          <w:rFonts w:asciiTheme="minorHAnsi" w:hAnsiTheme="minorHAnsi" w:cstheme="minorHAnsi"/>
          <w:szCs w:val="24"/>
        </w:rPr>
        <w:t>  : Permet de désigner les données comportant des effectifs d’étudiants inscrits dans les formations d’IUT</w:t>
      </w:r>
    </w:p>
    <w:p w:rsidR="00245374" w:rsidRDefault="000A7928" w:rsidP="00DF478D">
      <w:pPr>
        <w:pStyle w:val="Standard"/>
        <w:spacing w:after="0"/>
        <w:rPr>
          <w:rFonts w:asciiTheme="minorHAnsi" w:hAnsiTheme="minorHAnsi" w:cstheme="minorHAnsi"/>
          <w:szCs w:val="24"/>
        </w:rPr>
      </w:pPr>
      <w:proofErr w:type="spellStart"/>
      <w:proofErr w:type="gramStart"/>
      <w:r w:rsidRPr="00245374">
        <w:rPr>
          <w:rFonts w:asciiTheme="minorHAnsi" w:hAnsiTheme="minorHAnsi" w:cstheme="minorHAnsi"/>
          <w:b/>
          <w:szCs w:val="24"/>
        </w:rPr>
        <w:t>effectif</w:t>
      </w:r>
      <w:proofErr w:type="gramEnd"/>
      <w:r w:rsidRPr="00245374">
        <w:rPr>
          <w:rFonts w:asciiTheme="minorHAnsi" w:hAnsiTheme="minorHAnsi" w:cstheme="minorHAnsi"/>
          <w:b/>
          <w:szCs w:val="24"/>
        </w:rPr>
        <w:t>_iut</w:t>
      </w:r>
      <w:proofErr w:type="spellEnd"/>
      <w:r w:rsidRPr="00245374">
        <w:rPr>
          <w:rFonts w:asciiTheme="minorHAnsi" w:hAnsiTheme="minorHAnsi" w:cstheme="minorHAnsi"/>
          <w:szCs w:val="24"/>
        </w:rPr>
        <w:t>  : Nombre d’étudiants inscrits dans les formations d’IUT. Il s’agit d’un sous-total</w:t>
      </w:r>
      <w:r w:rsidRPr="00245374">
        <w:rPr>
          <w:rFonts w:asciiTheme="minorHAnsi" w:hAnsiTheme="minorHAnsi" w:cstheme="minorHAnsi"/>
          <w:szCs w:val="24"/>
        </w:rPr>
        <w:br/>
      </w:r>
      <w:proofErr w:type="spellStart"/>
      <w:r w:rsidRPr="00245374">
        <w:rPr>
          <w:rFonts w:asciiTheme="minorHAnsi" w:hAnsiTheme="minorHAnsi" w:cstheme="minorHAnsi"/>
          <w:b/>
          <w:szCs w:val="24"/>
        </w:rPr>
        <w:t>a_des_effectifs_ing</w:t>
      </w:r>
      <w:proofErr w:type="spellEnd"/>
      <w:r w:rsidRPr="00245374">
        <w:rPr>
          <w:rFonts w:asciiTheme="minorHAnsi" w:hAnsiTheme="minorHAnsi" w:cstheme="minorHAnsi"/>
          <w:szCs w:val="24"/>
        </w:rPr>
        <w:t>  : Permet de désigner les données comportant des effectifs d’étudiants inscrits dans les formations d’Ingénieur</w:t>
      </w:r>
      <w:r w:rsidRPr="00245374">
        <w:rPr>
          <w:rFonts w:asciiTheme="minorHAnsi" w:hAnsiTheme="minorHAnsi" w:cstheme="minorHAnsi"/>
          <w:szCs w:val="24"/>
        </w:rPr>
        <w:br/>
      </w:r>
      <w:proofErr w:type="spellStart"/>
      <w:r w:rsidRPr="00245374">
        <w:rPr>
          <w:rFonts w:asciiTheme="minorHAnsi" w:hAnsiTheme="minorHAnsi" w:cstheme="minorHAnsi"/>
          <w:b/>
          <w:szCs w:val="24"/>
        </w:rPr>
        <w:t>effectif_ing</w:t>
      </w:r>
      <w:proofErr w:type="spellEnd"/>
      <w:r w:rsidRPr="00245374">
        <w:rPr>
          <w:rFonts w:asciiTheme="minorHAnsi" w:hAnsiTheme="minorHAnsi" w:cstheme="minorHAnsi"/>
          <w:szCs w:val="24"/>
        </w:rPr>
        <w:t>  : Nombre d’étudiants inscrits dans les formations d’Ingén</w:t>
      </w:r>
      <w:r w:rsidR="00C844F3">
        <w:rPr>
          <w:rFonts w:asciiTheme="minorHAnsi" w:hAnsiTheme="minorHAnsi" w:cstheme="minorHAnsi"/>
          <w:szCs w:val="24"/>
        </w:rPr>
        <w:t>ieur. Il s’agit d’un sous-total</w:t>
      </w:r>
      <w:r w:rsidRPr="00245374">
        <w:rPr>
          <w:rFonts w:asciiTheme="minorHAnsi" w:hAnsiTheme="minorHAnsi" w:cstheme="minorHAnsi"/>
          <w:szCs w:val="24"/>
        </w:rPr>
        <w:br/>
      </w:r>
      <w:proofErr w:type="spellStart"/>
      <w:r w:rsidR="00322F03" w:rsidRPr="00322F03">
        <w:rPr>
          <w:rFonts w:asciiTheme="minorHAnsi" w:hAnsiTheme="minorHAnsi" w:cstheme="minorHAnsi"/>
          <w:b/>
          <w:szCs w:val="24"/>
        </w:rPr>
        <w:t>a_des_effectifs_form_ens</w:t>
      </w:r>
      <w:proofErr w:type="spellEnd"/>
      <w:r w:rsidR="00B24530" w:rsidRPr="00245374">
        <w:rPr>
          <w:rFonts w:asciiTheme="minorHAnsi" w:hAnsiTheme="minorHAnsi" w:cstheme="minorHAnsi"/>
          <w:szCs w:val="24"/>
        </w:rPr>
        <w:t xml:space="preserve">  : Permet de désigner les données comportant des </w:t>
      </w:r>
      <w:r w:rsidR="00322F03">
        <w:rPr>
          <w:rFonts w:asciiTheme="minorHAnsi" w:hAnsiTheme="minorHAnsi" w:cstheme="minorHAnsi"/>
          <w:szCs w:val="24"/>
        </w:rPr>
        <w:t>effectifs d’étudiants inscrits</w:t>
      </w:r>
      <w:r w:rsidR="00322F03" w:rsidRPr="00322F03">
        <w:rPr>
          <w:rFonts w:asciiTheme="minorHAnsi" w:hAnsiTheme="minorHAnsi" w:cstheme="minorHAnsi"/>
          <w:szCs w:val="24"/>
        </w:rPr>
        <w:t xml:space="preserve"> dans les master MEEF dans les ESPE</w:t>
      </w:r>
      <w:r w:rsidR="00322F03">
        <w:rPr>
          <w:rFonts w:asciiTheme="minorHAnsi" w:hAnsiTheme="minorHAnsi" w:cstheme="minorHAnsi"/>
          <w:szCs w:val="24"/>
        </w:rPr>
        <w:t xml:space="preserve"> et </w:t>
      </w:r>
      <w:r w:rsidR="00322F03" w:rsidRPr="00322F03">
        <w:rPr>
          <w:rFonts w:asciiTheme="minorHAnsi" w:hAnsiTheme="minorHAnsi" w:cstheme="minorHAnsi"/>
          <w:szCs w:val="24"/>
        </w:rPr>
        <w:t>INSPE.</w:t>
      </w:r>
      <w:r w:rsidR="00322F03">
        <w:rPr>
          <w:rFonts w:asciiTheme="minorHAnsi" w:hAnsiTheme="minorHAnsi" w:cstheme="minorHAnsi"/>
          <w:szCs w:val="24"/>
        </w:rPr>
        <w:br/>
      </w:r>
      <w:proofErr w:type="spellStart"/>
      <w:r w:rsidR="00322F03" w:rsidRPr="00322F03">
        <w:rPr>
          <w:rFonts w:asciiTheme="minorHAnsi" w:hAnsiTheme="minorHAnsi" w:cstheme="minorHAnsi"/>
          <w:b/>
          <w:szCs w:val="24"/>
        </w:rPr>
        <w:t>effectif_form_ens</w:t>
      </w:r>
      <w:proofErr w:type="spellEnd"/>
      <w:r w:rsidR="00B24530" w:rsidRPr="00245374">
        <w:rPr>
          <w:rFonts w:asciiTheme="minorHAnsi" w:hAnsiTheme="minorHAnsi" w:cstheme="minorHAnsi"/>
          <w:szCs w:val="24"/>
        </w:rPr>
        <w:t xml:space="preserve">  : Nombre d’étudiants inscrits </w:t>
      </w:r>
      <w:r w:rsidR="00322F03" w:rsidRPr="00322F03">
        <w:rPr>
          <w:rFonts w:asciiTheme="minorHAnsi" w:hAnsiTheme="minorHAnsi" w:cstheme="minorHAnsi"/>
          <w:szCs w:val="24"/>
        </w:rPr>
        <w:t>dans les master MEEF dans les ESPE</w:t>
      </w:r>
      <w:r w:rsidR="00322F03">
        <w:rPr>
          <w:rFonts w:asciiTheme="minorHAnsi" w:hAnsiTheme="minorHAnsi" w:cstheme="minorHAnsi"/>
          <w:szCs w:val="24"/>
        </w:rPr>
        <w:t xml:space="preserve"> et </w:t>
      </w:r>
      <w:r w:rsidR="00322F03" w:rsidRPr="00322F03">
        <w:rPr>
          <w:rFonts w:asciiTheme="minorHAnsi" w:hAnsiTheme="minorHAnsi" w:cstheme="minorHAnsi"/>
          <w:szCs w:val="24"/>
        </w:rPr>
        <w:t>INSPE</w:t>
      </w:r>
    </w:p>
    <w:p w:rsidR="00873E53" w:rsidRDefault="00A279E6" w:rsidP="00DF478D">
      <w:pPr>
        <w:pStyle w:val="Standard"/>
        <w:spacing w:after="0"/>
        <w:rPr>
          <w:rFonts w:asciiTheme="minorHAnsi" w:hAnsiTheme="minorHAnsi" w:cstheme="minorHAnsi"/>
          <w:szCs w:val="24"/>
        </w:rPr>
      </w:pPr>
      <w:proofErr w:type="spellStart"/>
      <w:r w:rsidRPr="007F3EFF">
        <w:rPr>
          <w:rFonts w:asciiTheme="minorHAnsi" w:hAnsiTheme="minorHAnsi" w:cstheme="minorHAnsi"/>
          <w:b/>
          <w:szCs w:val="24"/>
        </w:rPr>
        <w:t>a_des_effectifs_apprentis_sts</w:t>
      </w:r>
      <w:proofErr w:type="spellEnd"/>
      <w:r w:rsidRPr="007F3EFF">
        <w:rPr>
          <w:rFonts w:asciiTheme="minorHAnsi" w:hAnsiTheme="minorHAnsi" w:cstheme="minorHAnsi"/>
          <w:szCs w:val="24"/>
        </w:rPr>
        <w:t xml:space="preserve">  : Permet de désigner les données comportant des </w:t>
      </w:r>
      <w:r w:rsidR="00C844F3" w:rsidRPr="007F3EFF">
        <w:rPr>
          <w:rFonts w:asciiTheme="minorHAnsi" w:hAnsiTheme="minorHAnsi" w:cstheme="minorHAnsi"/>
          <w:szCs w:val="24"/>
        </w:rPr>
        <w:t>effectifs d’étudiants inscrits en STS et assimilés sous statut d’apprenti</w:t>
      </w:r>
      <w:r w:rsidRPr="007F3EFF">
        <w:rPr>
          <w:rFonts w:asciiTheme="minorHAnsi" w:hAnsiTheme="minorHAnsi" w:cstheme="minorHAnsi"/>
          <w:szCs w:val="24"/>
        </w:rPr>
        <w:t>.</w:t>
      </w:r>
      <w:r w:rsidRPr="007F3EFF">
        <w:rPr>
          <w:rFonts w:asciiTheme="minorHAnsi" w:hAnsiTheme="minorHAnsi" w:cstheme="minorHAnsi"/>
          <w:szCs w:val="24"/>
        </w:rPr>
        <w:br/>
      </w:r>
      <w:proofErr w:type="spellStart"/>
      <w:r w:rsidRPr="007F3EFF">
        <w:rPr>
          <w:rFonts w:asciiTheme="minorHAnsi" w:hAnsiTheme="minorHAnsi" w:cstheme="minorHAnsi"/>
          <w:b/>
          <w:szCs w:val="24"/>
        </w:rPr>
        <w:t>effectif_apprentis</w:t>
      </w:r>
      <w:r w:rsidR="00450EDE" w:rsidRPr="007F3EFF">
        <w:rPr>
          <w:rFonts w:asciiTheme="minorHAnsi" w:hAnsiTheme="minorHAnsi" w:cstheme="minorHAnsi"/>
          <w:b/>
          <w:szCs w:val="24"/>
        </w:rPr>
        <w:t>_en</w:t>
      </w:r>
      <w:r w:rsidRPr="007F3EFF">
        <w:rPr>
          <w:rFonts w:asciiTheme="minorHAnsi" w:hAnsiTheme="minorHAnsi" w:cstheme="minorHAnsi"/>
          <w:b/>
          <w:szCs w:val="24"/>
        </w:rPr>
        <w:t>_sts</w:t>
      </w:r>
      <w:proofErr w:type="spellEnd"/>
      <w:r w:rsidRPr="007F3EFF">
        <w:rPr>
          <w:rFonts w:asciiTheme="minorHAnsi" w:hAnsiTheme="minorHAnsi" w:cstheme="minorHAnsi"/>
          <w:szCs w:val="24"/>
        </w:rPr>
        <w:t xml:space="preserve">  : Nombre d’étudiants </w:t>
      </w:r>
      <w:r w:rsidR="00C844F3" w:rsidRPr="007F3EFF">
        <w:rPr>
          <w:rFonts w:asciiTheme="minorHAnsi" w:hAnsiTheme="minorHAnsi" w:cstheme="minorHAnsi"/>
          <w:szCs w:val="24"/>
        </w:rPr>
        <w:t>inscrits en STS et assimilés sous statut d’apprenti.</w:t>
      </w:r>
    </w:p>
    <w:p w:rsidR="00DF478D" w:rsidRDefault="00DF478D" w:rsidP="00DF478D">
      <w:pPr>
        <w:pStyle w:val="Standard"/>
        <w:spacing w:after="0"/>
        <w:rPr>
          <w:rFonts w:asciiTheme="minorHAnsi" w:hAnsiTheme="minorHAnsi" w:cstheme="minorHAnsi"/>
          <w:szCs w:val="24"/>
        </w:rPr>
      </w:pPr>
    </w:p>
    <w:p w:rsidR="000A7928" w:rsidRPr="00245374" w:rsidRDefault="000A7928">
      <w:pPr>
        <w:pStyle w:val="Standard"/>
        <w:rPr>
          <w:rFonts w:asciiTheme="minorHAnsi" w:hAnsiTheme="minorHAnsi" w:cstheme="minorHAnsi"/>
          <w:szCs w:val="24"/>
        </w:rPr>
      </w:pPr>
      <w:r w:rsidRPr="00245374">
        <w:rPr>
          <w:rFonts w:asciiTheme="minorHAnsi" w:hAnsiTheme="minorHAnsi" w:cstheme="minorHAnsi"/>
          <w:szCs w:val="24"/>
        </w:rPr>
        <w:t xml:space="preserve">Les données géographiques reprennent les identifiants définis dans le </w:t>
      </w:r>
      <w:hyperlink r:id="rId6" w:history="1">
        <w:r w:rsidRPr="00245374">
          <w:rPr>
            <w:rFonts w:asciiTheme="minorHAnsi" w:hAnsiTheme="minorHAnsi" w:cstheme="minorHAnsi"/>
            <w:color w:val="0000FF"/>
            <w:szCs w:val="24"/>
            <w:u w:val="single"/>
          </w:rPr>
          <w:t>code officiel géographique</w:t>
        </w:r>
      </w:hyperlink>
      <w:r w:rsidRPr="00245374">
        <w:rPr>
          <w:rFonts w:asciiTheme="minorHAnsi" w:hAnsiTheme="minorHAnsi" w:cstheme="minorHAnsi"/>
          <w:szCs w:val="24"/>
        </w:rPr>
        <w:t xml:space="preserve"> auquel est accolé un préfixe pour les niveaux géographiques correspondant aux départements (D), aux académies (A) et aux régions 2016 (R). Les identifiants des unités urbaines (</w:t>
      </w:r>
      <w:r w:rsidRPr="00B24530">
        <w:rPr>
          <w:rFonts w:asciiTheme="minorHAnsi" w:hAnsiTheme="minorHAnsi" w:cstheme="minorHAnsi"/>
          <w:b/>
          <w:szCs w:val="24"/>
        </w:rPr>
        <w:t>définition INSEE 20</w:t>
      </w:r>
      <w:r w:rsidR="00B24530" w:rsidRPr="00B24530">
        <w:rPr>
          <w:rFonts w:asciiTheme="minorHAnsi" w:hAnsiTheme="minorHAnsi" w:cstheme="minorHAnsi"/>
          <w:b/>
          <w:szCs w:val="24"/>
        </w:rPr>
        <w:t>20</w:t>
      </w:r>
      <w:r w:rsidRPr="00245374">
        <w:rPr>
          <w:rFonts w:asciiTheme="minorHAnsi" w:hAnsiTheme="minorHAnsi" w:cstheme="minorHAnsi"/>
          <w:szCs w:val="24"/>
        </w:rPr>
        <w:t xml:space="preserve">) sont préfixés avec les lettres UU. Les communes rurales et les communes des collectivités d’outre-mer sont respectivement identifiées avec les préfixes CR et TOM suivi </w:t>
      </w:r>
      <w:proofErr w:type="gramStart"/>
      <w:r w:rsidRPr="00245374">
        <w:rPr>
          <w:rFonts w:asciiTheme="minorHAnsi" w:hAnsiTheme="minorHAnsi" w:cstheme="minorHAnsi"/>
          <w:szCs w:val="24"/>
        </w:rPr>
        <w:t>du code commune</w:t>
      </w:r>
      <w:proofErr w:type="gramEnd"/>
      <w:r w:rsidRPr="00245374">
        <w:rPr>
          <w:rFonts w:asciiTheme="minorHAnsi" w:hAnsiTheme="minorHAnsi" w:cstheme="minorHAnsi"/>
          <w:szCs w:val="24"/>
        </w:rPr>
        <w:t>.</w:t>
      </w:r>
    </w:p>
    <w:p w:rsidR="00245374" w:rsidRPr="00245374" w:rsidRDefault="00245374">
      <w:pPr>
        <w:pStyle w:val="Standard"/>
        <w:rPr>
          <w:rFonts w:asciiTheme="minorHAnsi" w:hAnsiTheme="minorHAnsi" w:cstheme="minorHAnsi"/>
          <w:szCs w:val="24"/>
        </w:rPr>
      </w:pPr>
      <w:r w:rsidRPr="00245374">
        <w:rPr>
          <w:rFonts w:asciiTheme="minorHAnsi" w:hAnsiTheme="minorHAnsi" w:cstheme="minorHAnsi"/>
          <w:szCs w:val="24"/>
        </w:rPr>
        <w:t>Ce jeu de données prend en compte la création de l’académie de Normandie, intervenue le 1</w:t>
      </w:r>
      <w:r w:rsidRPr="00245374">
        <w:rPr>
          <w:rFonts w:asciiTheme="minorHAnsi" w:hAnsiTheme="minorHAnsi" w:cstheme="minorHAnsi"/>
          <w:szCs w:val="24"/>
          <w:vertAlign w:val="superscript"/>
        </w:rPr>
        <w:t>er</w:t>
      </w:r>
      <w:r w:rsidRPr="00245374">
        <w:rPr>
          <w:rFonts w:asciiTheme="minorHAnsi" w:hAnsiTheme="minorHAnsi" w:cstheme="minorHAnsi"/>
          <w:szCs w:val="24"/>
        </w:rPr>
        <w:t xml:space="preserve"> janvier 2020, issue de la fusion des académies de Caen et de Rouen.</w:t>
      </w:r>
    </w:p>
    <w:p w:rsidR="00245374" w:rsidRPr="00245374" w:rsidRDefault="00245374" w:rsidP="00245374">
      <w:pPr>
        <w:pStyle w:val="Standard"/>
        <w:rPr>
          <w:rFonts w:asciiTheme="minorHAnsi" w:hAnsiTheme="minorHAnsi" w:cstheme="minorHAnsi"/>
          <w:szCs w:val="24"/>
        </w:rPr>
      </w:pPr>
      <w:r w:rsidRPr="00245374">
        <w:rPr>
          <w:rFonts w:asciiTheme="minorHAnsi" w:hAnsiTheme="minorHAnsi" w:cstheme="minorHAnsi"/>
          <w:szCs w:val="24"/>
        </w:rPr>
        <w:t xml:space="preserve">Mayotte a changé de statut le 31 mars 2011, passant de collectivité d’outre-mer (COM) à département d’outre-mer (DOM). Ce changement de statut a été </w:t>
      </w:r>
      <w:proofErr w:type="spellStart"/>
      <w:r w:rsidRPr="00245374">
        <w:rPr>
          <w:rFonts w:asciiTheme="minorHAnsi" w:hAnsiTheme="minorHAnsi" w:cstheme="minorHAnsi"/>
          <w:szCs w:val="24"/>
        </w:rPr>
        <w:t>rétropolé</w:t>
      </w:r>
      <w:proofErr w:type="spellEnd"/>
      <w:r w:rsidRPr="00245374">
        <w:rPr>
          <w:rFonts w:asciiTheme="minorHAnsi" w:hAnsiTheme="minorHAnsi" w:cstheme="minorHAnsi"/>
          <w:szCs w:val="24"/>
        </w:rPr>
        <w:t xml:space="preserve"> sur l’ensemble de la série.</w:t>
      </w:r>
    </w:p>
    <w:p w:rsidR="000A7928" w:rsidRDefault="000A7928">
      <w:pPr>
        <w:pStyle w:val="Standard"/>
        <w:rPr>
          <w:rFonts w:asciiTheme="minorHAnsi" w:hAnsiTheme="minorHAnsi" w:cstheme="minorHAnsi"/>
          <w:szCs w:val="24"/>
        </w:rPr>
      </w:pPr>
      <w:r w:rsidRPr="00245374">
        <w:rPr>
          <w:rFonts w:asciiTheme="minorHAnsi" w:hAnsiTheme="minorHAnsi" w:cstheme="minorHAnsi"/>
          <w:szCs w:val="24"/>
        </w:rPr>
        <w:t xml:space="preserve">Le regroupement des </w:t>
      </w:r>
      <w:r w:rsidR="00245374" w:rsidRPr="00245374">
        <w:rPr>
          <w:rFonts w:asciiTheme="minorHAnsi" w:hAnsiTheme="minorHAnsi" w:cstheme="minorHAnsi"/>
          <w:szCs w:val="24"/>
        </w:rPr>
        <w:t xml:space="preserve">diverses </w:t>
      </w:r>
      <w:r w:rsidRPr="00245374">
        <w:rPr>
          <w:rFonts w:asciiTheme="minorHAnsi" w:hAnsiTheme="minorHAnsi" w:cstheme="minorHAnsi"/>
          <w:szCs w:val="24"/>
        </w:rPr>
        <w:t>sources peut entraîner, à la marge, la présence de doubles comptes dans les effectifs d’inscrits dans l’enseignement supérieur, car les étudiants peuvent s’inscrire à plusieurs formations sans être repérés du fait de l’absence d’identifiant unique.</w:t>
      </w:r>
    </w:p>
    <w:p w:rsidR="00463073" w:rsidRDefault="00463073">
      <w:pPr>
        <w:pStyle w:val="Standard"/>
        <w:rPr>
          <w:rFonts w:asciiTheme="minorHAnsi" w:hAnsiTheme="minorHAnsi" w:cstheme="minorHAnsi"/>
          <w:b/>
          <w:szCs w:val="24"/>
        </w:rPr>
      </w:pPr>
      <w:r>
        <w:rPr>
          <w:rFonts w:asciiTheme="minorHAnsi" w:hAnsiTheme="minorHAnsi" w:cstheme="minorHAnsi"/>
          <w:b/>
          <w:szCs w:val="24"/>
        </w:rPr>
        <w:br w:type="page"/>
      </w:r>
    </w:p>
    <w:p w:rsidR="00984872" w:rsidRPr="00054D99" w:rsidRDefault="00984872" w:rsidP="00984872">
      <w:pPr>
        <w:pStyle w:val="Standard"/>
        <w:rPr>
          <w:rFonts w:asciiTheme="minorHAnsi" w:hAnsiTheme="minorHAnsi" w:cstheme="minorHAnsi"/>
          <w:b/>
          <w:szCs w:val="24"/>
        </w:rPr>
      </w:pPr>
      <w:r w:rsidRPr="00A10981">
        <w:rPr>
          <w:rFonts w:asciiTheme="minorHAnsi" w:hAnsiTheme="minorHAnsi" w:cstheme="minorHAnsi"/>
          <w:b/>
          <w:szCs w:val="24"/>
        </w:rPr>
        <w:lastRenderedPageBreak/>
        <w:t>Effectifs de référence du jeu de données par année universitaire :</w:t>
      </w:r>
    </w:p>
    <w:tbl>
      <w:tblPr>
        <w:tblStyle w:val="Grilledutableau"/>
        <w:tblW w:w="0" w:type="auto"/>
        <w:tblLook w:val="04A0" w:firstRow="1" w:lastRow="0" w:firstColumn="1" w:lastColumn="0" w:noHBand="0" w:noVBand="1"/>
      </w:tblPr>
      <w:tblGrid>
        <w:gridCol w:w="2264"/>
        <w:gridCol w:w="2266"/>
        <w:gridCol w:w="2266"/>
        <w:gridCol w:w="2266"/>
      </w:tblGrid>
      <w:tr w:rsidR="00984872" w:rsidTr="00355C56">
        <w:tc>
          <w:tcPr>
            <w:tcW w:w="2264" w:type="dxa"/>
            <w:vAlign w:val="center"/>
          </w:tcPr>
          <w:p w:rsidR="00984872" w:rsidRPr="00A10981" w:rsidRDefault="00984872" w:rsidP="00355C56">
            <w:pPr>
              <w:jc w:val="center"/>
              <w:rPr>
                <w:rFonts w:ascii="Calibri" w:eastAsia="Times New Roman" w:hAnsi="Calibri" w:cs="Calibri"/>
                <w:color w:val="000000"/>
              </w:rPr>
            </w:pPr>
            <w:r>
              <w:rPr>
                <w:rFonts w:ascii="Calibri" w:eastAsia="Times New Roman" w:hAnsi="Calibri" w:cs="Calibri"/>
                <w:color w:val="000000"/>
              </w:rPr>
              <w:t xml:space="preserve">Rentrée </w:t>
            </w:r>
            <w:r w:rsidRPr="00A10981">
              <w:rPr>
                <w:rFonts w:ascii="Calibri" w:eastAsia="Times New Roman" w:hAnsi="Calibri" w:cs="Calibri"/>
                <w:color w:val="000000"/>
              </w:rPr>
              <w:t>universitaire</w:t>
            </w:r>
          </w:p>
        </w:tc>
        <w:tc>
          <w:tcPr>
            <w:tcW w:w="2266" w:type="dxa"/>
            <w:vAlign w:val="center"/>
          </w:tcPr>
          <w:p w:rsidR="00984872" w:rsidRDefault="00984872" w:rsidP="00355C56">
            <w:pPr>
              <w:jc w:val="center"/>
              <w:rPr>
                <w:rFonts w:cstheme="minorHAnsi"/>
                <w:szCs w:val="24"/>
              </w:rPr>
            </w:pPr>
            <w:r w:rsidRPr="00245374">
              <w:rPr>
                <w:rFonts w:cstheme="minorHAnsi"/>
                <w:szCs w:val="24"/>
              </w:rPr>
              <w:t>Nombre d’étudiants inscrits</w:t>
            </w:r>
          </w:p>
          <w:p w:rsidR="00984872" w:rsidRPr="00A10981" w:rsidRDefault="00984872" w:rsidP="00355C56">
            <w:pPr>
              <w:jc w:val="center"/>
              <w:rPr>
                <w:rFonts w:ascii="Calibri" w:eastAsia="Times New Roman" w:hAnsi="Calibri" w:cs="Calibri"/>
                <w:color w:val="000000"/>
              </w:rPr>
            </w:pPr>
            <w:r>
              <w:rPr>
                <w:rFonts w:cstheme="minorHAnsi"/>
                <w:szCs w:val="24"/>
              </w:rPr>
              <w:t>en France entière*</w:t>
            </w:r>
          </w:p>
        </w:tc>
        <w:tc>
          <w:tcPr>
            <w:tcW w:w="2266" w:type="dxa"/>
            <w:vAlign w:val="center"/>
          </w:tcPr>
          <w:p w:rsidR="00984872" w:rsidRPr="0083067B" w:rsidRDefault="00984872" w:rsidP="00355C56">
            <w:pPr>
              <w:jc w:val="center"/>
              <w:rPr>
                <w:rFonts w:cstheme="minorHAnsi"/>
                <w:szCs w:val="24"/>
              </w:rPr>
            </w:pPr>
            <w:r w:rsidRPr="00245374">
              <w:rPr>
                <w:rFonts w:cstheme="minorHAnsi"/>
                <w:szCs w:val="24"/>
              </w:rPr>
              <w:t>Nombre d’étudiants inscrits</w:t>
            </w:r>
            <w:r>
              <w:rPr>
                <w:rFonts w:cstheme="minorHAnsi"/>
                <w:szCs w:val="24"/>
              </w:rPr>
              <w:t xml:space="preserve"> hors double compte CPGE en France entière*</w:t>
            </w:r>
          </w:p>
        </w:tc>
        <w:tc>
          <w:tcPr>
            <w:tcW w:w="2266" w:type="dxa"/>
          </w:tcPr>
          <w:p w:rsidR="00984872" w:rsidRDefault="00984872" w:rsidP="00355C56">
            <w:pPr>
              <w:pStyle w:val="Standard"/>
              <w:jc w:val="center"/>
              <w:rPr>
                <w:rFonts w:asciiTheme="minorHAnsi" w:hAnsiTheme="minorHAnsi" w:cstheme="minorHAnsi"/>
                <w:szCs w:val="24"/>
              </w:rPr>
            </w:pPr>
            <w:r w:rsidRPr="00245374">
              <w:rPr>
                <w:rFonts w:cstheme="minorHAnsi"/>
                <w:szCs w:val="24"/>
              </w:rPr>
              <w:t>Nombre d’étudiants inscrits</w:t>
            </w:r>
            <w:r>
              <w:rPr>
                <w:rFonts w:cstheme="minorHAnsi"/>
                <w:szCs w:val="24"/>
              </w:rPr>
              <w:t xml:space="preserve"> hors double compte CPGE en France entière à partir de la rentrée 2015*</w:t>
            </w:r>
          </w:p>
        </w:tc>
      </w:tr>
      <w:tr w:rsidR="00984872" w:rsidTr="00355C56">
        <w:tc>
          <w:tcPr>
            <w:tcW w:w="2264" w:type="dxa"/>
          </w:tcPr>
          <w:p w:rsidR="00984872" w:rsidRDefault="00984872" w:rsidP="00355C56">
            <w:pPr>
              <w:pStyle w:val="Standard"/>
              <w:rPr>
                <w:rFonts w:asciiTheme="minorHAnsi" w:hAnsiTheme="minorHAnsi" w:cstheme="minorHAnsi"/>
                <w:szCs w:val="24"/>
              </w:rPr>
            </w:pPr>
            <w:r>
              <w:rPr>
                <w:rFonts w:asciiTheme="minorHAnsi" w:hAnsiTheme="minorHAnsi" w:cstheme="minorHAnsi"/>
                <w:szCs w:val="24"/>
              </w:rPr>
              <w:t>2001-02</w:t>
            </w:r>
          </w:p>
        </w:tc>
        <w:tc>
          <w:tcPr>
            <w:tcW w:w="2266" w:type="dxa"/>
            <w:vAlign w:val="center"/>
          </w:tcPr>
          <w:p w:rsidR="00984872" w:rsidRPr="0073696C" w:rsidRDefault="00984872" w:rsidP="00355C56">
            <w:pPr>
              <w:jc w:val="center"/>
            </w:pPr>
            <w:r w:rsidRPr="0073696C">
              <w:t>2 169 571</w:t>
            </w:r>
          </w:p>
        </w:tc>
        <w:tc>
          <w:tcPr>
            <w:tcW w:w="2266" w:type="dxa"/>
            <w:vAlign w:val="center"/>
          </w:tcPr>
          <w:p w:rsidR="00984872" w:rsidRPr="0073696C" w:rsidRDefault="00984872" w:rsidP="00355C56">
            <w:pPr>
              <w:jc w:val="center"/>
            </w:pPr>
          </w:p>
        </w:tc>
        <w:tc>
          <w:tcPr>
            <w:tcW w:w="2266" w:type="dxa"/>
            <w:vAlign w:val="center"/>
          </w:tcPr>
          <w:p w:rsidR="00984872" w:rsidRPr="0073696C" w:rsidRDefault="00984872" w:rsidP="00355C56">
            <w:pPr>
              <w:jc w:val="center"/>
            </w:pPr>
            <w:r w:rsidRPr="0073696C">
              <w:t>2 169 571</w:t>
            </w:r>
          </w:p>
        </w:tc>
      </w:tr>
      <w:tr w:rsidR="00984872" w:rsidTr="00355C56">
        <w:tc>
          <w:tcPr>
            <w:tcW w:w="2264" w:type="dxa"/>
          </w:tcPr>
          <w:p w:rsidR="00984872" w:rsidRDefault="00984872" w:rsidP="00355C56">
            <w:pPr>
              <w:pStyle w:val="Standard"/>
              <w:rPr>
                <w:rFonts w:asciiTheme="minorHAnsi" w:hAnsiTheme="minorHAnsi" w:cstheme="minorHAnsi"/>
                <w:szCs w:val="24"/>
              </w:rPr>
            </w:pPr>
            <w:r>
              <w:rPr>
                <w:rFonts w:asciiTheme="minorHAnsi" w:hAnsiTheme="minorHAnsi" w:cstheme="minorHAnsi"/>
                <w:szCs w:val="24"/>
              </w:rPr>
              <w:t>2002-03</w:t>
            </w:r>
          </w:p>
        </w:tc>
        <w:tc>
          <w:tcPr>
            <w:tcW w:w="2266" w:type="dxa"/>
            <w:vAlign w:val="center"/>
          </w:tcPr>
          <w:p w:rsidR="00984872" w:rsidRPr="0073696C" w:rsidRDefault="00984872" w:rsidP="00355C56">
            <w:pPr>
              <w:jc w:val="center"/>
            </w:pPr>
            <w:r w:rsidRPr="0073696C">
              <w:t>2 213 890</w:t>
            </w:r>
          </w:p>
        </w:tc>
        <w:tc>
          <w:tcPr>
            <w:tcW w:w="2266" w:type="dxa"/>
            <w:vAlign w:val="center"/>
          </w:tcPr>
          <w:p w:rsidR="00984872" w:rsidRPr="0073696C" w:rsidRDefault="00984872" w:rsidP="00355C56">
            <w:pPr>
              <w:jc w:val="center"/>
            </w:pPr>
          </w:p>
        </w:tc>
        <w:tc>
          <w:tcPr>
            <w:tcW w:w="2266" w:type="dxa"/>
            <w:vAlign w:val="center"/>
          </w:tcPr>
          <w:p w:rsidR="00984872" w:rsidRPr="0073696C" w:rsidRDefault="00984872" w:rsidP="00355C56">
            <w:pPr>
              <w:jc w:val="center"/>
            </w:pPr>
            <w:r w:rsidRPr="0073696C">
              <w:t>2 213 890</w:t>
            </w:r>
          </w:p>
        </w:tc>
      </w:tr>
      <w:tr w:rsidR="00984872" w:rsidTr="00355C56">
        <w:tc>
          <w:tcPr>
            <w:tcW w:w="2264" w:type="dxa"/>
          </w:tcPr>
          <w:p w:rsidR="00984872" w:rsidRDefault="00984872" w:rsidP="00355C56">
            <w:pPr>
              <w:pStyle w:val="Standard"/>
              <w:rPr>
                <w:rFonts w:asciiTheme="minorHAnsi" w:hAnsiTheme="minorHAnsi" w:cstheme="minorHAnsi"/>
                <w:szCs w:val="24"/>
              </w:rPr>
            </w:pPr>
            <w:r>
              <w:rPr>
                <w:rFonts w:asciiTheme="minorHAnsi" w:hAnsiTheme="minorHAnsi" w:cstheme="minorHAnsi"/>
                <w:szCs w:val="24"/>
              </w:rPr>
              <w:t>2003-04</w:t>
            </w:r>
          </w:p>
        </w:tc>
        <w:tc>
          <w:tcPr>
            <w:tcW w:w="2266" w:type="dxa"/>
            <w:vAlign w:val="center"/>
          </w:tcPr>
          <w:p w:rsidR="00984872" w:rsidRPr="0073696C" w:rsidRDefault="00984872" w:rsidP="00355C56">
            <w:pPr>
              <w:jc w:val="center"/>
            </w:pPr>
            <w:r w:rsidRPr="0073696C">
              <w:t>2 262 160</w:t>
            </w:r>
          </w:p>
        </w:tc>
        <w:tc>
          <w:tcPr>
            <w:tcW w:w="2266" w:type="dxa"/>
            <w:vAlign w:val="center"/>
          </w:tcPr>
          <w:p w:rsidR="00984872" w:rsidRPr="0073696C" w:rsidRDefault="00984872" w:rsidP="00355C56">
            <w:pPr>
              <w:jc w:val="center"/>
            </w:pPr>
          </w:p>
        </w:tc>
        <w:tc>
          <w:tcPr>
            <w:tcW w:w="2266" w:type="dxa"/>
            <w:vAlign w:val="center"/>
          </w:tcPr>
          <w:p w:rsidR="00984872" w:rsidRPr="0073696C" w:rsidRDefault="00984872" w:rsidP="00355C56">
            <w:pPr>
              <w:jc w:val="center"/>
            </w:pPr>
            <w:r w:rsidRPr="0073696C">
              <w:t>2 262 160</w:t>
            </w:r>
          </w:p>
        </w:tc>
      </w:tr>
      <w:tr w:rsidR="00984872" w:rsidTr="00355C56">
        <w:tc>
          <w:tcPr>
            <w:tcW w:w="2264" w:type="dxa"/>
          </w:tcPr>
          <w:p w:rsidR="00984872" w:rsidRDefault="00984872" w:rsidP="00355C56">
            <w:pPr>
              <w:pStyle w:val="Standard"/>
              <w:rPr>
                <w:rFonts w:asciiTheme="minorHAnsi" w:hAnsiTheme="minorHAnsi" w:cstheme="minorHAnsi"/>
                <w:szCs w:val="24"/>
              </w:rPr>
            </w:pPr>
            <w:r>
              <w:rPr>
                <w:rFonts w:asciiTheme="minorHAnsi" w:hAnsiTheme="minorHAnsi" w:cstheme="minorHAnsi"/>
                <w:szCs w:val="24"/>
              </w:rPr>
              <w:t>2004-05</w:t>
            </w:r>
          </w:p>
        </w:tc>
        <w:tc>
          <w:tcPr>
            <w:tcW w:w="2266" w:type="dxa"/>
            <w:vAlign w:val="center"/>
          </w:tcPr>
          <w:p w:rsidR="00984872" w:rsidRPr="0073696C" w:rsidRDefault="00984872" w:rsidP="00355C56">
            <w:pPr>
              <w:jc w:val="center"/>
            </w:pPr>
            <w:r w:rsidRPr="0073696C">
              <w:t>2 276 154</w:t>
            </w:r>
          </w:p>
        </w:tc>
        <w:tc>
          <w:tcPr>
            <w:tcW w:w="2266" w:type="dxa"/>
            <w:vAlign w:val="center"/>
          </w:tcPr>
          <w:p w:rsidR="00984872" w:rsidRPr="0073696C" w:rsidRDefault="00984872" w:rsidP="00355C56">
            <w:pPr>
              <w:jc w:val="center"/>
            </w:pPr>
          </w:p>
        </w:tc>
        <w:tc>
          <w:tcPr>
            <w:tcW w:w="2266" w:type="dxa"/>
            <w:vAlign w:val="center"/>
          </w:tcPr>
          <w:p w:rsidR="00984872" w:rsidRPr="0073696C" w:rsidRDefault="00984872" w:rsidP="00355C56">
            <w:pPr>
              <w:jc w:val="center"/>
            </w:pPr>
            <w:r w:rsidRPr="0073696C">
              <w:t>2 276 154</w:t>
            </w:r>
          </w:p>
        </w:tc>
      </w:tr>
      <w:tr w:rsidR="00984872" w:rsidTr="00355C56">
        <w:tc>
          <w:tcPr>
            <w:tcW w:w="2264" w:type="dxa"/>
          </w:tcPr>
          <w:p w:rsidR="00984872" w:rsidRDefault="00984872" w:rsidP="00355C56">
            <w:pPr>
              <w:pStyle w:val="Standard"/>
              <w:rPr>
                <w:rFonts w:asciiTheme="minorHAnsi" w:hAnsiTheme="minorHAnsi" w:cstheme="minorHAnsi"/>
                <w:szCs w:val="24"/>
              </w:rPr>
            </w:pPr>
            <w:r>
              <w:rPr>
                <w:rFonts w:asciiTheme="minorHAnsi" w:hAnsiTheme="minorHAnsi" w:cstheme="minorHAnsi"/>
                <w:szCs w:val="24"/>
              </w:rPr>
              <w:t>2005-06</w:t>
            </w:r>
          </w:p>
        </w:tc>
        <w:tc>
          <w:tcPr>
            <w:tcW w:w="2266" w:type="dxa"/>
            <w:vAlign w:val="center"/>
          </w:tcPr>
          <w:p w:rsidR="00984872" w:rsidRPr="0073696C" w:rsidRDefault="00984872" w:rsidP="00355C56">
            <w:pPr>
              <w:jc w:val="center"/>
            </w:pPr>
            <w:r w:rsidRPr="0073696C">
              <w:t>2 290 112</w:t>
            </w:r>
          </w:p>
        </w:tc>
        <w:tc>
          <w:tcPr>
            <w:tcW w:w="2266" w:type="dxa"/>
            <w:vAlign w:val="center"/>
          </w:tcPr>
          <w:p w:rsidR="00984872" w:rsidRPr="0073696C" w:rsidRDefault="00984872" w:rsidP="00355C56">
            <w:pPr>
              <w:jc w:val="center"/>
            </w:pPr>
          </w:p>
        </w:tc>
        <w:tc>
          <w:tcPr>
            <w:tcW w:w="2266" w:type="dxa"/>
            <w:vAlign w:val="center"/>
          </w:tcPr>
          <w:p w:rsidR="00984872" w:rsidRPr="0073696C" w:rsidRDefault="00984872" w:rsidP="00355C56">
            <w:pPr>
              <w:jc w:val="center"/>
            </w:pPr>
            <w:r w:rsidRPr="0073696C">
              <w:t>2 290 112</w:t>
            </w:r>
          </w:p>
        </w:tc>
      </w:tr>
      <w:tr w:rsidR="00984872" w:rsidTr="00355C56">
        <w:tc>
          <w:tcPr>
            <w:tcW w:w="2264" w:type="dxa"/>
          </w:tcPr>
          <w:p w:rsidR="00984872" w:rsidRDefault="00984872" w:rsidP="00355C56">
            <w:pPr>
              <w:pStyle w:val="Standard"/>
              <w:rPr>
                <w:rFonts w:asciiTheme="minorHAnsi" w:hAnsiTheme="minorHAnsi" w:cstheme="minorHAnsi"/>
                <w:szCs w:val="24"/>
              </w:rPr>
            </w:pPr>
            <w:r>
              <w:rPr>
                <w:rFonts w:asciiTheme="minorHAnsi" w:hAnsiTheme="minorHAnsi" w:cstheme="minorHAnsi"/>
                <w:szCs w:val="24"/>
              </w:rPr>
              <w:t>2006-07</w:t>
            </w:r>
          </w:p>
        </w:tc>
        <w:tc>
          <w:tcPr>
            <w:tcW w:w="2266" w:type="dxa"/>
            <w:vAlign w:val="center"/>
          </w:tcPr>
          <w:p w:rsidR="00984872" w:rsidRPr="0073696C" w:rsidRDefault="00984872" w:rsidP="00355C56">
            <w:pPr>
              <w:jc w:val="center"/>
            </w:pPr>
            <w:r w:rsidRPr="0073696C">
              <w:t>2 261 122</w:t>
            </w:r>
          </w:p>
        </w:tc>
        <w:tc>
          <w:tcPr>
            <w:tcW w:w="2266" w:type="dxa"/>
            <w:vAlign w:val="center"/>
          </w:tcPr>
          <w:p w:rsidR="00984872" w:rsidRPr="0073696C" w:rsidRDefault="00984872" w:rsidP="00355C56">
            <w:pPr>
              <w:jc w:val="center"/>
            </w:pPr>
          </w:p>
        </w:tc>
        <w:tc>
          <w:tcPr>
            <w:tcW w:w="2266" w:type="dxa"/>
            <w:vAlign w:val="center"/>
          </w:tcPr>
          <w:p w:rsidR="00984872" w:rsidRPr="0073696C" w:rsidRDefault="00984872" w:rsidP="00355C56">
            <w:pPr>
              <w:jc w:val="center"/>
            </w:pPr>
            <w:r w:rsidRPr="0073696C">
              <w:t>2 261 122</w:t>
            </w:r>
          </w:p>
        </w:tc>
      </w:tr>
      <w:tr w:rsidR="00984872" w:rsidTr="00355C56">
        <w:tc>
          <w:tcPr>
            <w:tcW w:w="2264" w:type="dxa"/>
          </w:tcPr>
          <w:p w:rsidR="00984872" w:rsidRDefault="00984872" w:rsidP="00355C56">
            <w:pPr>
              <w:pStyle w:val="Standard"/>
              <w:rPr>
                <w:rFonts w:asciiTheme="minorHAnsi" w:hAnsiTheme="minorHAnsi" w:cstheme="minorHAnsi"/>
                <w:szCs w:val="24"/>
              </w:rPr>
            </w:pPr>
            <w:r>
              <w:rPr>
                <w:rFonts w:asciiTheme="minorHAnsi" w:hAnsiTheme="minorHAnsi" w:cstheme="minorHAnsi"/>
                <w:szCs w:val="24"/>
              </w:rPr>
              <w:t>2007-08</w:t>
            </w:r>
          </w:p>
        </w:tc>
        <w:tc>
          <w:tcPr>
            <w:tcW w:w="2266" w:type="dxa"/>
            <w:vAlign w:val="center"/>
          </w:tcPr>
          <w:p w:rsidR="00984872" w:rsidRPr="0073696C" w:rsidRDefault="00984872" w:rsidP="00355C56">
            <w:pPr>
              <w:jc w:val="center"/>
            </w:pPr>
            <w:r w:rsidRPr="0073696C">
              <w:t>2 238 722</w:t>
            </w:r>
          </w:p>
        </w:tc>
        <w:tc>
          <w:tcPr>
            <w:tcW w:w="2266" w:type="dxa"/>
            <w:vAlign w:val="center"/>
          </w:tcPr>
          <w:p w:rsidR="00984872" w:rsidRPr="0073696C" w:rsidRDefault="00984872" w:rsidP="00355C56">
            <w:pPr>
              <w:jc w:val="center"/>
            </w:pPr>
          </w:p>
        </w:tc>
        <w:tc>
          <w:tcPr>
            <w:tcW w:w="2266" w:type="dxa"/>
            <w:vAlign w:val="center"/>
          </w:tcPr>
          <w:p w:rsidR="00984872" w:rsidRPr="0073696C" w:rsidRDefault="00984872" w:rsidP="00355C56">
            <w:pPr>
              <w:jc w:val="center"/>
            </w:pPr>
            <w:r w:rsidRPr="0073696C">
              <w:t>2 238 722</w:t>
            </w:r>
          </w:p>
        </w:tc>
      </w:tr>
      <w:tr w:rsidR="00984872" w:rsidTr="00355C56">
        <w:tc>
          <w:tcPr>
            <w:tcW w:w="2264" w:type="dxa"/>
          </w:tcPr>
          <w:p w:rsidR="00984872" w:rsidRDefault="00984872" w:rsidP="00355C56">
            <w:pPr>
              <w:pStyle w:val="Standard"/>
              <w:rPr>
                <w:rFonts w:asciiTheme="minorHAnsi" w:hAnsiTheme="minorHAnsi" w:cstheme="minorHAnsi"/>
                <w:szCs w:val="24"/>
              </w:rPr>
            </w:pPr>
            <w:r>
              <w:rPr>
                <w:rFonts w:asciiTheme="minorHAnsi" w:hAnsiTheme="minorHAnsi" w:cstheme="minorHAnsi"/>
                <w:szCs w:val="24"/>
              </w:rPr>
              <w:t>2008-09</w:t>
            </w:r>
          </w:p>
        </w:tc>
        <w:tc>
          <w:tcPr>
            <w:tcW w:w="2266" w:type="dxa"/>
            <w:vAlign w:val="center"/>
          </w:tcPr>
          <w:p w:rsidR="00984872" w:rsidRPr="0073696C" w:rsidRDefault="00984872" w:rsidP="00355C56">
            <w:pPr>
              <w:jc w:val="center"/>
            </w:pPr>
            <w:r w:rsidRPr="0073696C">
              <w:t>2 241 683</w:t>
            </w:r>
          </w:p>
        </w:tc>
        <w:tc>
          <w:tcPr>
            <w:tcW w:w="2266" w:type="dxa"/>
            <w:vAlign w:val="center"/>
          </w:tcPr>
          <w:p w:rsidR="00984872" w:rsidRPr="0073696C" w:rsidRDefault="00984872" w:rsidP="00355C56">
            <w:pPr>
              <w:jc w:val="center"/>
            </w:pPr>
          </w:p>
        </w:tc>
        <w:tc>
          <w:tcPr>
            <w:tcW w:w="2266" w:type="dxa"/>
            <w:vAlign w:val="center"/>
          </w:tcPr>
          <w:p w:rsidR="00984872" w:rsidRPr="0073696C" w:rsidRDefault="00984872" w:rsidP="00355C56">
            <w:pPr>
              <w:jc w:val="center"/>
            </w:pPr>
            <w:r w:rsidRPr="0073696C">
              <w:t>2 241 683</w:t>
            </w:r>
          </w:p>
        </w:tc>
      </w:tr>
      <w:tr w:rsidR="00984872" w:rsidTr="00355C56">
        <w:tc>
          <w:tcPr>
            <w:tcW w:w="2264" w:type="dxa"/>
          </w:tcPr>
          <w:p w:rsidR="00984872" w:rsidRDefault="00984872" w:rsidP="00355C56">
            <w:pPr>
              <w:pStyle w:val="Standard"/>
              <w:rPr>
                <w:rFonts w:asciiTheme="minorHAnsi" w:hAnsiTheme="minorHAnsi" w:cstheme="minorHAnsi"/>
                <w:szCs w:val="24"/>
              </w:rPr>
            </w:pPr>
            <w:r>
              <w:rPr>
                <w:rFonts w:asciiTheme="minorHAnsi" w:hAnsiTheme="minorHAnsi" w:cstheme="minorHAnsi"/>
                <w:szCs w:val="24"/>
              </w:rPr>
              <w:t>2009-10</w:t>
            </w:r>
          </w:p>
        </w:tc>
        <w:tc>
          <w:tcPr>
            <w:tcW w:w="2266" w:type="dxa"/>
            <w:vAlign w:val="center"/>
          </w:tcPr>
          <w:p w:rsidR="00984872" w:rsidRPr="0073696C" w:rsidRDefault="00984872" w:rsidP="00355C56">
            <w:pPr>
              <w:jc w:val="center"/>
            </w:pPr>
            <w:r w:rsidRPr="0073696C">
              <w:t>2 322 190</w:t>
            </w:r>
          </w:p>
        </w:tc>
        <w:tc>
          <w:tcPr>
            <w:tcW w:w="2266" w:type="dxa"/>
            <w:vAlign w:val="center"/>
          </w:tcPr>
          <w:p w:rsidR="00984872" w:rsidRPr="0073696C" w:rsidRDefault="00984872" w:rsidP="00355C56">
            <w:pPr>
              <w:jc w:val="center"/>
            </w:pPr>
          </w:p>
        </w:tc>
        <w:tc>
          <w:tcPr>
            <w:tcW w:w="2266" w:type="dxa"/>
            <w:vAlign w:val="center"/>
          </w:tcPr>
          <w:p w:rsidR="00984872" w:rsidRPr="0073696C" w:rsidRDefault="00984872" w:rsidP="00355C56">
            <w:pPr>
              <w:jc w:val="center"/>
            </w:pPr>
            <w:r w:rsidRPr="0073696C">
              <w:t>2 322 190</w:t>
            </w:r>
          </w:p>
        </w:tc>
      </w:tr>
      <w:tr w:rsidR="00984872" w:rsidTr="00355C56">
        <w:tc>
          <w:tcPr>
            <w:tcW w:w="2264" w:type="dxa"/>
          </w:tcPr>
          <w:p w:rsidR="00984872" w:rsidRDefault="00984872" w:rsidP="00355C56">
            <w:pPr>
              <w:pStyle w:val="Standard"/>
              <w:rPr>
                <w:rFonts w:asciiTheme="minorHAnsi" w:hAnsiTheme="minorHAnsi" w:cstheme="minorHAnsi"/>
                <w:szCs w:val="24"/>
              </w:rPr>
            </w:pPr>
            <w:r>
              <w:rPr>
                <w:rFonts w:asciiTheme="minorHAnsi" w:hAnsiTheme="minorHAnsi" w:cstheme="minorHAnsi"/>
                <w:szCs w:val="24"/>
              </w:rPr>
              <w:t>2010-11</w:t>
            </w:r>
          </w:p>
        </w:tc>
        <w:tc>
          <w:tcPr>
            <w:tcW w:w="2266" w:type="dxa"/>
            <w:vAlign w:val="center"/>
          </w:tcPr>
          <w:p w:rsidR="00984872" w:rsidRPr="0073696C" w:rsidRDefault="00984872" w:rsidP="00355C56">
            <w:pPr>
              <w:jc w:val="center"/>
            </w:pPr>
            <w:r w:rsidRPr="0073696C">
              <w:t>2 327 917</w:t>
            </w:r>
          </w:p>
        </w:tc>
        <w:tc>
          <w:tcPr>
            <w:tcW w:w="2266" w:type="dxa"/>
            <w:vAlign w:val="center"/>
          </w:tcPr>
          <w:p w:rsidR="00984872" w:rsidRPr="0073696C" w:rsidRDefault="00984872" w:rsidP="00355C56">
            <w:pPr>
              <w:jc w:val="center"/>
            </w:pPr>
          </w:p>
        </w:tc>
        <w:tc>
          <w:tcPr>
            <w:tcW w:w="2266" w:type="dxa"/>
            <w:vAlign w:val="center"/>
          </w:tcPr>
          <w:p w:rsidR="00984872" w:rsidRPr="0073696C" w:rsidRDefault="00984872" w:rsidP="00355C56">
            <w:pPr>
              <w:jc w:val="center"/>
            </w:pPr>
            <w:r w:rsidRPr="0073696C">
              <w:t>2 327 917</w:t>
            </w:r>
          </w:p>
        </w:tc>
      </w:tr>
      <w:tr w:rsidR="00984872" w:rsidTr="00355C56">
        <w:tc>
          <w:tcPr>
            <w:tcW w:w="2264" w:type="dxa"/>
          </w:tcPr>
          <w:p w:rsidR="00984872" w:rsidRDefault="00984872" w:rsidP="00355C56">
            <w:pPr>
              <w:pStyle w:val="Standard"/>
              <w:rPr>
                <w:rFonts w:asciiTheme="minorHAnsi" w:hAnsiTheme="minorHAnsi" w:cstheme="minorHAnsi"/>
                <w:szCs w:val="24"/>
              </w:rPr>
            </w:pPr>
            <w:r>
              <w:rPr>
                <w:rFonts w:asciiTheme="minorHAnsi" w:hAnsiTheme="minorHAnsi" w:cstheme="minorHAnsi"/>
                <w:szCs w:val="24"/>
              </w:rPr>
              <w:t>2011-12</w:t>
            </w:r>
          </w:p>
        </w:tc>
        <w:tc>
          <w:tcPr>
            <w:tcW w:w="2266" w:type="dxa"/>
            <w:vAlign w:val="center"/>
          </w:tcPr>
          <w:p w:rsidR="00984872" w:rsidRPr="0073696C" w:rsidRDefault="00984872" w:rsidP="00355C56">
            <w:pPr>
              <w:jc w:val="center"/>
            </w:pPr>
            <w:r w:rsidRPr="0073696C">
              <w:t>2 357 379</w:t>
            </w:r>
          </w:p>
        </w:tc>
        <w:tc>
          <w:tcPr>
            <w:tcW w:w="2266" w:type="dxa"/>
            <w:vAlign w:val="center"/>
          </w:tcPr>
          <w:p w:rsidR="00984872" w:rsidRPr="0073696C" w:rsidRDefault="00984872" w:rsidP="00355C56">
            <w:pPr>
              <w:jc w:val="center"/>
            </w:pPr>
          </w:p>
        </w:tc>
        <w:tc>
          <w:tcPr>
            <w:tcW w:w="2266" w:type="dxa"/>
            <w:vAlign w:val="center"/>
          </w:tcPr>
          <w:p w:rsidR="00984872" w:rsidRPr="0073696C" w:rsidRDefault="00984872" w:rsidP="00355C56">
            <w:pPr>
              <w:jc w:val="center"/>
            </w:pPr>
            <w:r w:rsidRPr="0073696C">
              <w:t>2 357 379</w:t>
            </w:r>
          </w:p>
        </w:tc>
      </w:tr>
      <w:tr w:rsidR="00984872" w:rsidTr="00355C56">
        <w:tc>
          <w:tcPr>
            <w:tcW w:w="2264" w:type="dxa"/>
          </w:tcPr>
          <w:p w:rsidR="00984872" w:rsidRDefault="00984872" w:rsidP="00355C56">
            <w:pPr>
              <w:pStyle w:val="Standard"/>
              <w:rPr>
                <w:rFonts w:asciiTheme="minorHAnsi" w:hAnsiTheme="minorHAnsi" w:cstheme="minorHAnsi"/>
                <w:szCs w:val="24"/>
              </w:rPr>
            </w:pPr>
            <w:r>
              <w:rPr>
                <w:rFonts w:asciiTheme="minorHAnsi" w:hAnsiTheme="minorHAnsi" w:cstheme="minorHAnsi"/>
                <w:szCs w:val="24"/>
              </w:rPr>
              <w:t>2012-13</w:t>
            </w:r>
          </w:p>
        </w:tc>
        <w:tc>
          <w:tcPr>
            <w:tcW w:w="2266" w:type="dxa"/>
            <w:vAlign w:val="center"/>
          </w:tcPr>
          <w:p w:rsidR="00984872" w:rsidRPr="0073696C" w:rsidRDefault="00984872" w:rsidP="00355C56">
            <w:pPr>
              <w:jc w:val="center"/>
            </w:pPr>
            <w:r w:rsidRPr="0073696C">
              <w:t>2 387 447</w:t>
            </w:r>
          </w:p>
        </w:tc>
        <w:tc>
          <w:tcPr>
            <w:tcW w:w="2266" w:type="dxa"/>
            <w:vAlign w:val="center"/>
          </w:tcPr>
          <w:p w:rsidR="00984872" w:rsidRPr="0073696C" w:rsidRDefault="00984872" w:rsidP="00355C56">
            <w:pPr>
              <w:jc w:val="center"/>
            </w:pPr>
          </w:p>
        </w:tc>
        <w:tc>
          <w:tcPr>
            <w:tcW w:w="2266" w:type="dxa"/>
            <w:vAlign w:val="center"/>
          </w:tcPr>
          <w:p w:rsidR="00984872" w:rsidRPr="0073696C" w:rsidRDefault="00984872" w:rsidP="00355C56">
            <w:pPr>
              <w:jc w:val="center"/>
            </w:pPr>
            <w:r w:rsidRPr="0073696C">
              <w:t>2 387 447</w:t>
            </w:r>
          </w:p>
        </w:tc>
      </w:tr>
      <w:tr w:rsidR="00984872" w:rsidTr="00355C56">
        <w:tc>
          <w:tcPr>
            <w:tcW w:w="2264" w:type="dxa"/>
          </w:tcPr>
          <w:p w:rsidR="00984872" w:rsidRDefault="00984872" w:rsidP="00355C56">
            <w:pPr>
              <w:pStyle w:val="Standard"/>
              <w:rPr>
                <w:rFonts w:asciiTheme="minorHAnsi" w:hAnsiTheme="minorHAnsi" w:cstheme="minorHAnsi"/>
                <w:szCs w:val="24"/>
              </w:rPr>
            </w:pPr>
            <w:r>
              <w:rPr>
                <w:rFonts w:asciiTheme="minorHAnsi" w:hAnsiTheme="minorHAnsi" w:cstheme="minorHAnsi"/>
                <w:szCs w:val="24"/>
              </w:rPr>
              <w:t>2013-14</w:t>
            </w:r>
          </w:p>
        </w:tc>
        <w:tc>
          <w:tcPr>
            <w:tcW w:w="2266" w:type="dxa"/>
            <w:vAlign w:val="center"/>
          </w:tcPr>
          <w:p w:rsidR="00984872" w:rsidRPr="0073696C" w:rsidRDefault="00984872" w:rsidP="00355C56">
            <w:pPr>
              <w:jc w:val="center"/>
            </w:pPr>
            <w:r w:rsidRPr="0073696C">
              <w:t>2 440 921</w:t>
            </w:r>
          </w:p>
        </w:tc>
        <w:tc>
          <w:tcPr>
            <w:tcW w:w="2266" w:type="dxa"/>
            <w:vAlign w:val="center"/>
          </w:tcPr>
          <w:p w:rsidR="00984872" w:rsidRPr="0073696C" w:rsidRDefault="00984872" w:rsidP="00355C56">
            <w:pPr>
              <w:jc w:val="center"/>
            </w:pPr>
          </w:p>
        </w:tc>
        <w:tc>
          <w:tcPr>
            <w:tcW w:w="2266" w:type="dxa"/>
            <w:vAlign w:val="center"/>
          </w:tcPr>
          <w:p w:rsidR="00984872" w:rsidRPr="0073696C" w:rsidRDefault="00984872" w:rsidP="00355C56">
            <w:pPr>
              <w:jc w:val="center"/>
            </w:pPr>
            <w:r w:rsidRPr="0073696C">
              <w:t>2 440 921</w:t>
            </w:r>
          </w:p>
        </w:tc>
      </w:tr>
      <w:tr w:rsidR="00984872" w:rsidTr="00355C56">
        <w:tc>
          <w:tcPr>
            <w:tcW w:w="2264" w:type="dxa"/>
          </w:tcPr>
          <w:p w:rsidR="00984872" w:rsidRDefault="00984872" w:rsidP="00355C56">
            <w:pPr>
              <w:pStyle w:val="Standard"/>
              <w:rPr>
                <w:rFonts w:asciiTheme="minorHAnsi" w:hAnsiTheme="minorHAnsi" w:cstheme="minorHAnsi"/>
                <w:szCs w:val="24"/>
              </w:rPr>
            </w:pPr>
            <w:r>
              <w:rPr>
                <w:rFonts w:asciiTheme="minorHAnsi" w:hAnsiTheme="minorHAnsi" w:cstheme="minorHAnsi"/>
                <w:szCs w:val="24"/>
              </w:rPr>
              <w:t>2014-15</w:t>
            </w:r>
          </w:p>
        </w:tc>
        <w:tc>
          <w:tcPr>
            <w:tcW w:w="2266" w:type="dxa"/>
            <w:vAlign w:val="center"/>
          </w:tcPr>
          <w:p w:rsidR="00984872" w:rsidRPr="0073696C" w:rsidRDefault="00984872" w:rsidP="00355C56">
            <w:pPr>
              <w:jc w:val="center"/>
            </w:pPr>
            <w:r w:rsidRPr="0073696C">
              <w:t>2 480 022</w:t>
            </w:r>
          </w:p>
        </w:tc>
        <w:tc>
          <w:tcPr>
            <w:tcW w:w="2266" w:type="dxa"/>
            <w:vAlign w:val="center"/>
          </w:tcPr>
          <w:p w:rsidR="00984872" w:rsidRPr="0073696C" w:rsidRDefault="00984872" w:rsidP="00355C56">
            <w:pPr>
              <w:jc w:val="center"/>
            </w:pPr>
          </w:p>
        </w:tc>
        <w:tc>
          <w:tcPr>
            <w:tcW w:w="2266" w:type="dxa"/>
            <w:vAlign w:val="center"/>
          </w:tcPr>
          <w:p w:rsidR="00984872" w:rsidRPr="0073696C" w:rsidRDefault="00984872" w:rsidP="00355C56">
            <w:pPr>
              <w:jc w:val="center"/>
            </w:pPr>
            <w:r w:rsidRPr="0073696C">
              <w:t>2 480 022</w:t>
            </w:r>
          </w:p>
        </w:tc>
      </w:tr>
      <w:tr w:rsidR="00984872" w:rsidTr="00355C56">
        <w:tc>
          <w:tcPr>
            <w:tcW w:w="2264" w:type="dxa"/>
          </w:tcPr>
          <w:p w:rsidR="00984872" w:rsidRDefault="00984872" w:rsidP="00355C56">
            <w:pPr>
              <w:pStyle w:val="Standard"/>
              <w:rPr>
                <w:rFonts w:asciiTheme="minorHAnsi" w:hAnsiTheme="minorHAnsi" w:cstheme="minorHAnsi"/>
                <w:szCs w:val="24"/>
              </w:rPr>
            </w:pPr>
            <w:r>
              <w:rPr>
                <w:rFonts w:asciiTheme="minorHAnsi" w:hAnsiTheme="minorHAnsi" w:cstheme="minorHAnsi"/>
                <w:szCs w:val="24"/>
              </w:rPr>
              <w:t>2015-16</w:t>
            </w:r>
          </w:p>
        </w:tc>
        <w:tc>
          <w:tcPr>
            <w:tcW w:w="2266" w:type="dxa"/>
            <w:vAlign w:val="center"/>
          </w:tcPr>
          <w:p w:rsidR="00984872" w:rsidRPr="0073696C" w:rsidRDefault="00984872" w:rsidP="00355C56">
            <w:pPr>
              <w:jc w:val="center"/>
            </w:pPr>
            <w:r w:rsidRPr="0073696C">
              <w:t>2 620 489</w:t>
            </w:r>
          </w:p>
        </w:tc>
        <w:tc>
          <w:tcPr>
            <w:tcW w:w="2266" w:type="dxa"/>
            <w:vAlign w:val="center"/>
          </w:tcPr>
          <w:p w:rsidR="00984872" w:rsidRPr="0073696C" w:rsidRDefault="00984872" w:rsidP="00355C56">
            <w:pPr>
              <w:jc w:val="center"/>
            </w:pPr>
            <w:r w:rsidRPr="000E179F">
              <w:t>2 579 450</w:t>
            </w:r>
          </w:p>
        </w:tc>
        <w:tc>
          <w:tcPr>
            <w:tcW w:w="2266" w:type="dxa"/>
            <w:vAlign w:val="center"/>
          </w:tcPr>
          <w:p w:rsidR="00984872" w:rsidRPr="0073696C" w:rsidRDefault="00984872" w:rsidP="00355C56">
            <w:pPr>
              <w:jc w:val="center"/>
            </w:pPr>
            <w:r w:rsidRPr="000E179F">
              <w:t>2 579 450</w:t>
            </w:r>
          </w:p>
        </w:tc>
      </w:tr>
      <w:tr w:rsidR="00984872" w:rsidTr="00355C56">
        <w:tc>
          <w:tcPr>
            <w:tcW w:w="2264" w:type="dxa"/>
          </w:tcPr>
          <w:p w:rsidR="00984872" w:rsidRDefault="00984872" w:rsidP="00355C56">
            <w:pPr>
              <w:pStyle w:val="Standard"/>
              <w:rPr>
                <w:rFonts w:asciiTheme="minorHAnsi" w:hAnsiTheme="minorHAnsi" w:cstheme="minorHAnsi"/>
                <w:szCs w:val="24"/>
              </w:rPr>
            </w:pPr>
            <w:r>
              <w:rPr>
                <w:rFonts w:asciiTheme="minorHAnsi" w:hAnsiTheme="minorHAnsi" w:cstheme="minorHAnsi"/>
                <w:szCs w:val="24"/>
              </w:rPr>
              <w:t>2016-17</w:t>
            </w:r>
          </w:p>
        </w:tc>
        <w:tc>
          <w:tcPr>
            <w:tcW w:w="2266" w:type="dxa"/>
            <w:vAlign w:val="center"/>
          </w:tcPr>
          <w:p w:rsidR="00984872" w:rsidRPr="0073696C" w:rsidRDefault="00984872" w:rsidP="00355C56">
            <w:pPr>
              <w:jc w:val="center"/>
            </w:pPr>
            <w:r w:rsidRPr="0073696C">
              <w:t>2 682 313</w:t>
            </w:r>
          </w:p>
        </w:tc>
        <w:tc>
          <w:tcPr>
            <w:tcW w:w="2266" w:type="dxa"/>
            <w:vAlign w:val="center"/>
          </w:tcPr>
          <w:p w:rsidR="00984872" w:rsidRPr="0073696C" w:rsidRDefault="00984872" w:rsidP="00355C56">
            <w:pPr>
              <w:jc w:val="center"/>
            </w:pPr>
            <w:r w:rsidRPr="000E179F">
              <w:t>2 627 186</w:t>
            </w:r>
          </w:p>
        </w:tc>
        <w:tc>
          <w:tcPr>
            <w:tcW w:w="2266" w:type="dxa"/>
            <w:vAlign w:val="center"/>
          </w:tcPr>
          <w:p w:rsidR="00984872" w:rsidRPr="0073696C" w:rsidRDefault="00984872" w:rsidP="00355C56">
            <w:pPr>
              <w:jc w:val="center"/>
            </w:pPr>
            <w:r w:rsidRPr="000E179F">
              <w:t>2 627 186</w:t>
            </w:r>
          </w:p>
        </w:tc>
      </w:tr>
      <w:tr w:rsidR="00984872" w:rsidTr="00355C56">
        <w:tc>
          <w:tcPr>
            <w:tcW w:w="2264" w:type="dxa"/>
          </w:tcPr>
          <w:p w:rsidR="00984872" w:rsidRDefault="00984872" w:rsidP="00355C56">
            <w:pPr>
              <w:pStyle w:val="Standard"/>
              <w:rPr>
                <w:rFonts w:asciiTheme="minorHAnsi" w:hAnsiTheme="minorHAnsi" w:cstheme="minorHAnsi"/>
                <w:szCs w:val="24"/>
              </w:rPr>
            </w:pPr>
            <w:r>
              <w:rPr>
                <w:rFonts w:asciiTheme="minorHAnsi" w:hAnsiTheme="minorHAnsi" w:cstheme="minorHAnsi"/>
                <w:szCs w:val="24"/>
              </w:rPr>
              <w:t>2017-18</w:t>
            </w:r>
          </w:p>
        </w:tc>
        <w:tc>
          <w:tcPr>
            <w:tcW w:w="2266" w:type="dxa"/>
            <w:vAlign w:val="center"/>
          </w:tcPr>
          <w:p w:rsidR="00984872" w:rsidRPr="0073696C" w:rsidRDefault="00984872" w:rsidP="00355C56">
            <w:pPr>
              <w:jc w:val="center"/>
            </w:pPr>
            <w:r w:rsidRPr="0073696C">
              <w:t>2 756 470</w:t>
            </w:r>
          </w:p>
        </w:tc>
        <w:tc>
          <w:tcPr>
            <w:tcW w:w="2266" w:type="dxa"/>
            <w:vAlign w:val="center"/>
          </w:tcPr>
          <w:p w:rsidR="00984872" w:rsidRPr="0073696C" w:rsidRDefault="00984872" w:rsidP="00355C56">
            <w:pPr>
              <w:jc w:val="center"/>
            </w:pPr>
            <w:r w:rsidRPr="000E179F">
              <w:t>2 698 365</w:t>
            </w:r>
          </w:p>
        </w:tc>
        <w:tc>
          <w:tcPr>
            <w:tcW w:w="2266" w:type="dxa"/>
            <w:vAlign w:val="center"/>
          </w:tcPr>
          <w:p w:rsidR="00984872" w:rsidRPr="0073696C" w:rsidRDefault="00984872" w:rsidP="00355C56">
            <w:pPr>
              <w:jc w:val="center"/>
            </w:pPr>
            <w:r w:rsidRPr="000E179F">
              <w:t>2 698 365</w:t>
            </w:r>
          </w:p>
        </w:tc>
      </w:tr>
      <w:tr w:rsidR="00984872" w:rsidTr="00355C56">
        <w:tc>
          <w:tcPr>
            <w:tcW w:w="2264" w:type="dxa"/>
          </w:tcPr>
          <w:p w:rsidR="00984872" w:rsidRDefault="00984872" w:rsidP="00355C56">
            <w:pPr>
              <w:pStyle w:val="Standard"/>
              <w:rPr>
                <w:rFonts w:asciiTheme="minorHAnsi" w:hAnsiTheme="minorHAnsi" w:cstheme="minorHAnsi"/>
                <w:szCs w:val="24"/>
              </w:rPr>
            </w:pPr>
            <w:r>
              <w:rPr>
                <w:rFonts w:asciiTheme="minorHAnsi" w:hAnsiTheme="minorHAnsi" w:cstheme="minorHAnsi"/>
                <w:szCs w:val="24"/>
              </w:rPr>
              <w:t>2018-19</w:t>
            </w:r>
          </w:p>
        </w:tc>
        <w:tc>
          <w:tcPr>
            <w:tcW w:w="2266" w:type="dxa"/>
            <w:vAlign w:val="center"/>
          </w:tcPr>
          <w:p w:rsidR="00984872" w:rsidRPr="0073696C" w:rsidRDefault="00984872" w:rsidP="00355C56">
            <w:pPr>
              <w:jc w:val="center"/>
            </w:pPr>
            <w:r w:rsidRPr="0073696C">
              <w:t>2 821 191</w:t>
            </w:r>
          </w:p>
        </w:tc>
        <w:tc>
          <w:tcPr>
            <w:tcW w:w="2266" w:type="dxa"/>
            <w:vAlign w:val="center"/>
          </w:tcPr>
          <w:p w:rsidR="00984872" w:rsidRPr="0073696C" w:rsidRDefault="00984872" w:rsidP="00355C56">
            <w:pPr>
              <w:jc w:val="center"/>
            </w:pPr>
            <w:r w:rsidRPr="0073696C">
              <w:t>2 763 071</w:t>
            </w:r>
          </w:p>
        </w:tc>
        <w:tc>
          <w:tcPr>
            <w:tcW w:w="2266" w:type="dxa"/>
            <w:vAlign w:val="center"/>
          </w:tcPr>
          <w:p w:rsidR="00984872" w:rsidRPr="0073696C" w:rsidRDefault="00984872" w:rsidP="00355C56">
            <w:pPr>
              <w:jc w:val="center"/>
            </w:pPr>
            <w:r w:rsidRPr="0073696C">
              <w:t>2 763 071</w:t>
            </w:r>
          </w:p>
        </w:tc>
      </w:tr>
      <w:tr w:rsidR="00984872" w:rsidTr="00355C56">
        <w:tc>
          <w:tcPr>
            <w:tcW w:w="2264" w:type="dxa"/>
          </w:tcPr>
          <w:p w:rsidR="00984872" w:rsidRDefault="00984872" w:rsidP="00355C56">
            <w:pPr>
              <w:pStyle w:val="Standard"/>
              <w:rPr>
                <w:rFonts w:asciiTheme="minorHAnsi" w:hAnsiTheme="minorHAnsi" w:cstheme="minorHAnsi"/>
                <w:szCs w:val="24"/>
              </w:rPr>
            </w:pPr>
            <w:r>
              <w:rPr>
                <w:rFonts w:asciiTheme="minorHAnsi" w:hAnsiTheme="minorHAnsi" w:cstheme="minorHAnsi"/>
                <w:szCs w:val="24"/>
              </w:rPr>
              <w:t>2019-20</w:t>
            </w:r>
          </w:p>
        </w:tc>
        <w:tc>
          <w:tcPr>
            <w:tcW w:w="2266" w:type="dxa"/>
            <w:vAlign w:val="center"/>
          </w:tcPr>
          <w:p w:rsidR="00984872" w:rsidRPr="0073696C" w:rsidRDefault="00984872" w:rsidP="00355C56">
            <w:pPr>
              <w:jc w:val="center"/>
            </w:pPr>
            <w:r w:rsidRPr="0073696C">
              <w:t>2 871 390</w:t>
            </w:r>
          </w:p>
        </w:tc>
        <w:tc>
          <w:tcPr>
            <w:tcW w:w="2266" w:type="dxa"/>
            <w:vAlign w:val="center"/>
          </w:tcPr>
          <w:p w:rsidR="00984872" w:rsidRPr="0073696C" w:rsidRDefault="00984872" w:rsidP="00355C56">
            <w:pPr>
              <w:jc w:val="center"/>
            </w:pPr>
            <w:r w:rsidRPr="0073696C">
              <w:t>2 815 282</w:t>
            </w:r>
          </w:p>
        </w:tc>
        <w:tc>
          <w:tcPr>
            <w:tcW w:w="2266" w:type="dxa"/>
            <w:vAlign w:val="center"/>
          </w:tcPr>
          <w:p w:rsidR="00984872" w:rsidRPr="0073696C" w:rsidRDefault="00984872" w:rsidP="00355C56">
            <w:pPr>
              <w:jc w:val="center"/>
            </w:pPr>
            <w:r w:rsidRPr="0073696C">
              <w:t>2 815 282</w:t>
            </w:r>
          </w:p>
        </w:tc>
      </w:tr>
      <w:tr w:rsidR="00984872" w:rsidTr="00355C56">
        <w:tc>
          <w:tcPr>
            <w:tcW w:w="2264" w:type="dxa"/>
          </w:tcPr>
          <w:p w:rsidR="00984872" w:rsidRDefault="00984872" w:rsidP="00355C56">
            <w:pPr>
              <w:pStyle w:val="Standard"/>
              <w:rPr>
                <w:rFonts w:asciiTheme="minorHAnsi" w:hAnsiTheme="minorHAnsi" w:cstheme="minorHAnsi"/>
                <w:szCs w:val="24"/>
              </w:rPr>
            </w:pPr>
            <w:r>
              <w:rPr>
                <w:rFonts w:asciiTheme="minorHAnsi" w:hAnsiTheme="minorHAnsi" w:cstheme="minorHAnsi"/>
                <w:szCs w:val="24"/>
              </w:rPr>
              <w:t>2020-21</w:t>
            </w:r>
          </w:p>
        </w:tc>
        <w:tc>
          <w:tcPr>
            <w:tcW w:w="2266" w:type="dxa"/>
            <w:vAlign w:val="center"/>
          </w:tcPr>
          <w:p w:rsidR="00984872" w:rsidRPr="0073696C" w:rsidRDefault="00984872" w:rsidP="00355C56">
            <w:pPr>
              <w:jc w:val="center"/>
            </w:pPr>
            <w:r w:rsidRPr="0073696C">
              <w:t>2 956 116</w:t>
            </w:r>
          </w:p>
        </w:tc>
        <w:tc>
          <w:tcPr>
            <w:tcW w:w="2266" w:type="dxa"/>
            <w:vAlign w:val="center"/>
          </w:tcPr>
          <w:p w:rsidR="00984872" w:rsidRPr="0073696C" w:rsidRDefault="00984872" w:rsidP="00355C56">
            <w:pPr>
              <w:jc w:val="center"/>
            </w:pPr>
            <w:r w:rsidRPr="0073696C">
              <w:t>2 900 410</w:t>
            </w:r>
          </w:p>
        </w:tc>
        <w:tc>
          <w:tcPr>
            <w:tcW w:w="2266" w:type="dxa"/>
            <w:vAlign w:val="center"/>
          </w:tcPr>
          <w:p w:rsidR="00984872" w:rsidRPr="0073696C" w:rsidRDefault="00984872" w:rsidP="00355C56">
            <w:pPr>
              <w:jc w:val="center"/>
            </w:pPr>
            <w:r w:rsidRPr="0073696C">
              <w:t>2 900 410</w:t>
            </w:r>
          </w:p>
        </w:tc>
      </w:tr>
      <w:tr w:rsidR="00984872" w:rsidTr="00355C56">
        <w:tc>
          <w:tcPr>
            <w:tcW w:w="2264" w:type="dxa"/>
          </w:tcPr>
          <w:p w:rsidR="00984872" w:rsidRDefault="00984872" w:rsidP="00355C56">
            <w:pPr>
              <w:pStyle w:val="Standard"/>
              <w:rPr>
                <w:rFonts w:asciiTheme="minorHAnsi" w:hAnsiTheme="minorHAnsi" w:cstheme="minorHAnsi"/>
                <w:szCs w:val="24"/>
              </w:rPr>
            </w:pPr>
            <w:r>
              <w:rPr>
                <w:rFonts w:asciiTheme="minorHAnsi" w:hAnsiTheme="minorHAnsi" w:cstheme="minorHAnsi"/>
                <w:szCs w:val="24"/>
              </w:rPr>
              <w:t>2021-22</w:t>
            </w:r>
          </w:p>
        </w:tc>
        <w:tc>
          <w:tcPr>
            <w:tcW w:w="2266" w:type="dxa"/>
            <w:vAlign w:val="center"/>
          </w:tcPr>
          <w:p w:rsidR="00984872" w:rsidRPr="0073696C" w:rsidRDefault="00984872" w:rsidP="00355C56">
            <w:pPr>
              <w:jc w:val="center"/>
            </w:pPr>
            <w:r w:rsidRPr="0073696C">
              <w:t>3 039 834</w:t>
            </w:r>
          </w:p>
        </w:tc>
        <w:tc>
          <w:tcPr>
            <w:tcW w:w="2266" w:type="dxa"/>
            <w:vAlign w:val="center"/>
          </w:tcPr>
          <w:p w:rsidR="00984872" w:rsidRPr="0073696C" w:rsidRDefault="00984872" w:rsidP="00355C56">
            <w:pPr>
              <w:jc w:val="center"/>
            </w:pPr>
            <w:r w:rsidRPr="0073696C">
              <w:t>2 982 721</w:t>
            </w:r>
          </w:p>
        </w:tc>
        <w:tc>
          <w:tcPr>
            <w:tcW w:w="2266" w:type="dxa"/>
            <w:vAlign w:val="center"/>
          </w:tcPr>
          <w:p w:rsidR="00984872" w:rsidRPr="0073696C" w:rsidRDefault="00984872" w:rsidP="00355C56">
            <w:pPr>
              <w:jc w:val="center"/>
            </w:pPr>
            <w:r w:rsidRPr="0073696C">
              <w:t>2 982 721</w:t>
            </w:r>
          </w:p>
        </w:tc>
      </w:tr>
      <w:tr w:rsidR="00984872" w:rsidTr="00355C56">
        <w:tc>
          <w:tcPr>
            <w:tcW w:w="2264" w:type="dxa"/>
          </w:tcPr>
          <w:p w:rsidR="00984872" w:rsidRDefault="00984872" w:rsidP="00355C56">
            <w:pPr>
              <w:pStyle w:val="Standard"/>
              <w:rPr>
                <w:rFonts w:asciiTheme="minorHAnsi" w:hAnsiTheme="minorHAnsi" w:cstheme="minorHAnsi"/>
                <w:szCs w:val="24"/>
              </w:rPr>
            </w:pPr>
            <w:r>
              <w:rPr>
                <w:rFonts w:asciiTheme="minorHAnsi" w:hAnsiTheme="minorHAnsi" w:cstheme="minorHAnsi"/>
                <w:szCs w:val="24"/>
              </w:rPr>
              <w:t>2022-23</w:t>
            </w:r>
          </w:p>
        </w:tc>
        <w:tc>
          <w:tcPr>
            <w:tcW w:w="2266" w:type="dxa"/>
            <w:vAlign w:val="center"/>
          </w:tcPr>
          <w:p w:rsidR="00984872" w:rsidRPr="0073696C" w:rsidRDefault="00984872" w:rsidP="00355C56">
            <w:pPr>
              <w:jc w:val="center"/>
            </w:pPr>
            <w:r w:rsidRPr="0073696C">
              <w:t>2 999 389</w:t>
            </w:r>
          </w:p>
        </w:tc>
        <w:tc>
          <w:tcPr>
            <w:tcW w:w="2266" w:type="dxa"/>
            <w:vAlign w:val="center"/>
          </w:tcPr>
          <w:p w:rsidR="00984872" w:rsidRPr="0073696C" w:rsidRDefault="00984872" w:rsidP="00355C56">
            <w:pPr>
              <w:jc w:val="center"/>
            </w:pPr>
            <w:r w:rsidRPr="0073696C">
              <w:t>2 941 633</w:t>
            </w:r>
          </w:p>
        </w:tc>
        <w:tc>
          <w:tcPr>
            <w:tcW w:w="2266" w:type="dxa"/>
            <w:vAlign w:val="center"/>
          </w:tcPr>
          <w:p w:rsidR="00984872" w:rsidRPr="0073696C" w:rsidRDefault="00984872" w:rsidP="00355C56">
            <w:pPr>
              <w:jc w:val="center"/>
            </w:pPr>
            <w:r w:rsidRPr="0073696C">
              <w:t>2 941 633</w:t>
            </w:r>
          </w:p>
        </w:tc>
      </w:tr>
      <w:tr w:rsidR="00984872" w:rsidTr="00355C56">
        <w:tc>
          <w:tcPr>
            <w:tcW w:w="2264" w:type="dxa"/>
          </w:tcPr>
          <w:p w:rsidR="00984872" w:rsidRDefault="00984872" w:rsidP="00355C56">
            <w:pPr>
              <w:pStyle w:val="Standard"/>
              <w:rPr>
                <w:rFonts w:asciiTheme="minorHAnsi" w:hAnsiTheme="minorHAnsi" w:cstheme="minorHAnsi"/>
                <w:szCs w:val="24"/>
              </w:rPr>
            </w:pPr>
            <w:r>
              <w:rPr>
                <w:rFonts w:asciiTheme="minorHAnsi" w:hAnsiTheme="minorHAnsi" w:cstheme="minorHAnsi"/>
                <w:szCs w:val="24"/>
              </w:rPr>
              <w:t>2023-24</w:t>
            </w:r>
          </w:p>
        </w:tc>
        <w:tc>
          <w:tcPr>
            <w:tcW w:w="2266" w:type="dxa"/>
            <w:vAlign w:val="center"/>
          </w:tcPr>
          <w:p w:rsidR="00984872" w:rsidRPr="0073696C" w:rsidRDefault="00984872" w:rsidP="00355C56">
            <w:pPr>
              <w:jc w:val="center"/>
            </w:pPr>
            <w:r w:rsidRPr="0073696C">
              <w:t>3 028 671</w:t>
            </w:r>
          </w:p>
        </w:tc>
        <w:tc>
          <w:tcPr>
            <w:tcW w:w="2266" w:type="dxa"/>
            <w:vAlign w:val="center"/>
          </w:tcPr>
          <w:p w:rsidR="00984872" w:rsidRDefault="00984872" w:rsidP="00355C56">
            <w:pPr>
              <w:jc w:val="center"/>
            </w:pPr>
            <w:r w:rsidRPr="0073696C">
              <w:t>2 969 162</w:t>
            </w:r>
          </w:p>
        </w:tc>
        <w:tc>
          <w:tcPr>
            <w:tcW w:w="2266" w:type="dxa"/>
            <w:vAlign w:val="center"/>
          </w:tcPr>
          <w:p w:rsidR="00984872" w:rsidRDefault="00984872" w:rsidP="00355C56">
            <w:pPr>
              <w:jc w:val="center"/>
            </w:pPr>
            <w:r w:rsidRPr="0073696C">
              <w:t>2 969</w:t>
            </w:r>
            <w:r>
              <w:t> </w:t>
            </w:r>
            <w:r w:rsidRPr="0073696C">
              <w:t>162</w:t>
            </w:r>
          </w:p>
        </w:tc>
      </w:tr>
    </w:tbl>
    <w:p w:rsidR="00984872" w:rsidRPr="00245374" w:rsidRDefault="00984872" w:rsidP="00984872">
      <w:pPr>
        <w:pStyle w:val="Standard"/>
        <w:rPr>
          <w:rFonts w:asciiTheme="minorHAnsi" w:hAnsiTheme="minorHAnsi" w:cstheme="minorHAnsi"/>
          <w:szCs w:val="24"/>
        </w:rPr>
      </w:pPr>
      <w:r>
        <w:rPr>
          <w:rFonts w:asciiTheme="minorHAnsi" w:hAnsiTheme="minorHAnsi" w:cstheme="minorHAnsi"/>
          <w:szCs w:val="24"/>
        </w:rPr>
        <w:t>*Hors inscriptions dans une implantation située à l’étranger</w:t>
      </w:r>
    </w:p>
    <w:p w:rsidR="000A7928" w:rsidRPr="00245374" w:rsidRDefault="000A7928">
      <w:pPr>
        <w:pStyle w:val="Standard"/>
        <w:rPr>
          <w:rFonts w:asciiTheme="minorHAnsi" w:hAnsiTheme="minorHAnsi" w:cstheme="minorHAnsi"/>
          <w:szCs w:val="24"/>
        </w:rPr>
      </w:pPr>
      <w:bookmarkStart w:id="0" w:name="_GoBack"/>
      <w:bookmarkEnd w:id="0"/>
    </w:p>
    <w:p w:rsidR="000A7928" w:rsidRPr="00245374" w:rsidRDefault="000A7928">
      <w:pPr>
        <w:pStyle w:val="Standard"/>
        <w:rPr>
          <w:rFonts w:asciiTheme="minorHAnsi" w:hAnsiTheme="minorHAnsi" w:cstheme="minorHAnsi"/>
          <w:szCs w:val="24"/>
        </w:rPr>
        <w:sectPr w:rsidR="000A7928" w:rsidRPr="00245374">
          <w:type w:val="continuous"/>
          <w:pgSz w:w="11906" w:h="16838"/>
          <w:pgMar w:top="1417" w:right="1417" w:bottom="1701" w:left="1417" w:header="720" w:footer="720" w:gutter="0"/>
          <w:cols w:space="720"/>
          <w:formProt w:val="0"/>
          <w:noEndnote/>
        </w:sectPr>
      </w:pPr>
    </w:p>
    <w:p w:rsidR="000A7928" w:rsidRPr="00245374" w:rsidRDefault="000A7928">
      <w:pPr>
        <w:pStyle w:val="Standard"/>
        <w:spacing w:after="40"/>
        <w:rPr>
          <w:rFonts w:asciiTheme="minorHAnsi" w:hAnsiTheme="minorHAnsi" w:cstheme="minorHAnsi"/>
          <w:szCs w:val="24"/>
        </w:rPr>
      </w:pPr>
      <w:r w:rsidRPr="00245374">
        <w:rPr>
          <w:rFonts w:asciiTheme="minorHAnsi" w:hAnsiTheme="minorHAnsi" w:cstheme="minorHAnsi"/>
          <w:b/>
          <w:szCs w:val="24"/>
        </w:rPr>
        <w:lastRenderedPageBreak/>
        <w:t>Sources et définitions</w:t>
      </w:r>
    </w:p>
    <w:tbl>
      <w:tblPr>
        <w:tblW w:w="0" w:type="auto"/>
        <w:tblInd w:w="55" w:type="dxa"/>
        <w:tblLayout w:type="fixed"/>
        <w:tblCellMar>
          <w:left w:w="70" w:type="dxa"/>
          <w:right w:w="70" w:type="dxa"/>
        </w:tblCellMar>
        <w:tblLook w:val="0000" w:firstRow="0" w:lastRow="0" w:firstColumn="0" w:lastColumn="0" w:noHBand="0" w:noVBand="0"/>
      </w:tblPr>
      <w:tblGrid>
        <w:gridCol w:w="2157"/>
        <w:gridCol w:w="3260"/>
        <w:gridCol w:w="8505"/>
      </w:tblGrid>
      <w:tr w:rsidR="000A7928" w:rsidRPr="00245374">
        <w:trPr>
          <w:trHeight w:val="87"/>
        </w:trPr>
        <w:tc>
          <w:tcPr>
            <w:tcW w:w="2157" w:type="dxa"/>
            <w:tcBorders>
              <w:top w:val="nil"/>
              <w:left w:val="nil"/>
              <w:bottom w:val="nil"/>
              <w:right w:val="nil"/>
            </w:tcBorders>
            <w:vAlign w:val="bottom"/>
          </w:tcPr>
          <w:p w:rsidR="000A7928" w:rsidRPr="00245374" w:rsidRDefault="000A7928" w:rsidP="00496241">
            <w:pPr>
              <w:pStyle w:val="Standard"/>
              <w:spacing w:after="0" w:line="120" w:lineRule="atLeast"/>
              <w:rPr>
                <w:rFonts w:asciiTheme="minorHAnsi" w:hAnsiTheme="minorHAnsi" w:cstheme="minorHAnsi"/>
                <w:szCs w:val="24"/>
              </w:rPr>
            </w:pPr>
          </w:p>
        </w:tc>
        <w:tc>
          <w:tcPr>
            <w:tcW w:w="3260" w:type="dxa"/>
            <w:tcBorders>
              <w:top w:val="nil"/>
              <w:left w:val="nil"/>
              <w:bottom w:val="nil"/>
              <w:right w:val="nil"/>
            </w:tcBorders>
            <w:vAlign w:val="bottom"/>
          </w:tcPr>
          <w:p w:rsidR="000A7928" w:rsidRPr="00245374" w:rsidRDefault="000A7928" w:rsidP="00496241">
            <w:pPr>
              <w:pStyle w:val="Standard"/>
              <w:spacing w:after="0" w:line="120" w:lineRule="atLeast"/>
              <w:rPr>
                <w:rFonts w:asciiTheme="minorHAnsi" w:hAnsiTheme="minorHAnsi" w:cstheme="minorHAnsi"/>
                <w:szCs w:val="24"/>
              </w:rPr>
            </w:pPr>
            <w:r w:rsidRPr="00245374">
              <w:rPr>
                <w:rFonts w:asciiTheme="minorHAnsi" w:hAnsiTheme="minorHAnsi" w:cstheme="minorHAnsi"/>
                <w:b/>
                <w:sz w:val="14"/>
                <w:szCs w:val="24"/>
                <w:lang w:eastAsia="fr-FR"/>
              </w:rPr>
              <w:t>sources</w:t>
            </w:r>
          </w:p>
        </w:tc>
        <w:tc>
          <w:tcPr>
            <w:tcW w:w="8505" w:type="dxa"/>
            <w:tcBorders>
              <w:top w:val="nil"/>
              <w:left w:val="nil"/>
              <w:bottom w:val="nil"/>
              <w:right w:val="nil"/>
            </w:tcBorders>
            <w:vAlign w:val="bottom"/>
          </w:tcPr>
          <w:p w:rsidR="000A7928" w:rsidRPr="00245374" w:rsidRDefault="000A7928" w:rsidP="00496241">
            <w:pPr>
              <w:pStyle w:val="Standard"/>
              <w:spacing w:after="0" w:line="120" w:lineRule="atLeast"/>
              <w:rPr>
                <w:rFonts w:asciiTheme="minorHAnsi" w:hAnsiTheme="minorHAnsi" w:cstheme="minorHAnsi"/>
                <w:szCs w:val="24"/>
              </w:rPr>
            </w:pPr>
            <w:r w:rsidRPr="00245374">
              <w:rPr>
                <w:rFonts w:asciiTheme="minorHAnsi" w:hAnsiTheme="minorHAnsi" w:cstheme="minorHAnsi"/>
                <w:b/>
                <w:sz w:val="14"/>
                <w:szCs w:val="24"/>
                <w:lang w:eastAsia="fr-FR"/>
              </w:rPr>
              <w:t>champs des données</w:t>
            </w:r>
          </w:p>
        </w:tc>
      </w:tr>
      <w:tr w:rsidR="000A7928" w:rsidRPr="00245374">
        <w:trPr>
          <w:trHeight w:val="395"/>
        </w:trPr>
        <w:tc>
          <w:tcPr>
            <w:tcW w:w="2157" w:type="dxa"/>
            <w:tcBorders>
              <w:top w:val="single" w:sz="2" w:space="0" w:color="000000"/>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 xml:space="preserve">Classes préparatoires aux grandes écoles (CPGE)  </w:t>
            </w:r>
          </w:p>
        </w:tc>
        <w:tc>
          <w:tcPr>
            <w:tcW w:w="3260" w:type="dxa"/>
            <w:tcBorders>
              <w:top w:val="single" w:sz="2" w:space="0" w:color="000000"/>
              <w:left w:val="nil"/>
              <w:bottom w:val="single" w:sz="2" w:space="0" w:color="000000"/>
              <w:right w:val="nil"/>
            </w:tcBorders>
          </w:tcPr>
          <w:p w:rsidR="000A7928" w:rsidRPr="00245374" w:rsidRDefault="00801EB0" w:rsidP="00B24530">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B24530" w:rsidRPr="00B24530">
              <w:rPr>
                <w:rFonts w:asciiTheme="minorHAnsi" w:hAnsiTheme="minorHAnsi" w:cstheme="minorHAnsi"/>
                <w:sz w:val="14"/>
                <w:szCs w:val="24"/>
                <w:lang w:eastAsia="fr-FR"/>
              </w:rPr>
              <w:t xml:space="preserve"> </w:t>
            </w:r>
            <w:r w:rsidR="00B24530">
              <w:rPr>
                <w:rFonts w:asciiTheme="minorHAnsi" w:hAnsiTheme="minorHAnsi" w:cstheme="minorHAnsi"/>
                <w:sz w:val="14"/>
                <w:szCs w:val="24"/>
                <w:lang w:eastAsia="fr-FR"/>
              </w:rPr>
              <w:t>–</w:t>
            </w:r>
            <w:r w:rsidR="00B24530" w:rsidRPr="00B24530">
              <w:rPr>
                <w:rFonts w:asciiTheme="minorHAnsi" w:hAnsiTheme="minorHAnsi" w:cstheme="minorHAnsi"/>
                <w:sz w:val="14"/>
                <w:szCs w:val="24"/>
                <w:lang w:eastAsia="fr-FR"/>
              </w:rPr>
              <w:t xml:space="preserve"> SIES</w:t>
            </w:r>
            <w:r w:rsidR="00B24530">
              <w:rPr>
                <w:rFonts w:asciiTheme="minorHAnsi" w:hAnsiTheme="minorHAnsi" w:cstheme="minorHAnsi"/>
                <w:sz w:val="14"/>
                <w:szCs w:val="24"/>
                <w:lang w:eastAsia="fr-FR"/>
              </w:rPr>
              <w:br/>
            </w:r>
            <w:r>
              <w:rPr>
                <w:rFonts w:asciiTheme="minorHAnsi" w:hAnsiTheme="minorHAnsi" w:cstheme="minorHAnsi"/>
                <w:sz w:val="14"/>
                <w:szCs w:val="24"/>
                <w:lang w:eastAsia="fr-FR"/>
              </w:rPr>
              <w:t>MENJ</w:t>
            </w:r>
            <w:r w:rsidR="00B24530" w:rsidRPr="00B24530">
              <w:rPr>
                <w:rFonts w:asciiTheme="minorHAnsi" w:hAnsiTheme="minorHAnsi" w:cstheme="minorHAnsi"/>
                <w:sz w:val="14"/>
                <w:szCs w:val="24"/>
                <w:lang w:eastAsia="fr-FR"/>
              </w:rPr>
              <w:t>-</w:t>
            </w:r>
            <w:r>
              <w:rPr>
                <w:rFonts w:asciiTheme="minorHAnsi" w:hAnsiTheme="minorHAnsi" w:cstheme="minorHAnsi"/>
                <w:sz w:val="14"/>
                <w:szCs w:val="24"/>
                <w:lang w:eastAsia="fr-FR"/>
              </w:rPr>
              <w:t>MESR</w:t>
            </w:r>
            <w:r w:rsidR="00B24530" w:rsidRPr="00B24530">
              <w:rPr>
                <w:rFonts w:asciiTheme="minorHAnsi" w:hAnsiTheme="minorHAnsi" w:cstheme="minorHAnsi"/>
                <w:sz w:val="14"/>
                <w:szCs w:val="24"/>
                <w:lang w:eastAsia="fr-FR"/>
              </w:rPr>
              <w:t xml:space="preserve"> </w:t>
            </w:r>
            <w:r w:rsidR="00B24530">
              <w:rPr>
                <w:rFonts w:asciiTheme="minorHAnsi" w:hAnsiTheme="minorHAnsi" w:cstheme="minorHAnsi"/>
                <w:sz w:val="14"/>
                <w:szCs w:val="24"/>
                <w:lang w:eastAsia="fr-FR"/>
              </w:rPr>
              <w:t>–</w:t>
            </w:r>
            <w:r w:rsidR="00B24530" w:rsidRPr="00B24530">
              <w:rPr>
                <w:rFonts w:asciiTheme="minorHAnsi" w:hAnsiTheme="minorHAnsi" w:cstheme="minorHAnsi"/>
                <w:sz w:val="14"/>
                <w:szCs w:val="24"/>
                <w:lang w:eastAsia="fr-FR"/>
              </w:rPr>
              <w:t xml:space="preserve"> DEPP</w:t>
            </w:r>
            <w:r w:rsidR="00B24530">
              <w:rPr>
                <w:rFonts w:asciiTheme="minorHAnsi" w:hAnsiTheme="minorHAnsi" w:cstheme="minorHAnsi"/>
                <w:sz w:val="14"/>
                <w:szCs w:val="24"/>
                <w:lang w:eastAsia="fr-FR"/>
              </w:rPr>
              <w:br/>
            </w:r>
            <w:r w:rsidR="00B24530" w:rsidRPr="00B24530">
              <w:rPr>
                <w:rFonts w:asciiTheme="minorHAnsi" w:hAnsiTheme="minorHAnsi" w:cstheme="minorHAnsi"/>
                <w:sz w:val="14"/>
                <w:szCs w:val="24"/>
                <w:lang w:eastAsia="fr-FR"/>
              </w:rPr>
              <w:t>Ministère en charge de l’Agriculture et de la pêche</w:t>
            </w:r>
          </w:p>
        </w:tc>
        <w:tc>
          <w:tcPr>
            <w:tcW w:w="8505" w:type="dxa"/>
            <w:tcBorders>
              <w:top w:val="single" w:sz="2" w:space="0" w:color="000000"/>
              <w:left w:val="nil"/>
              <w:bottom w:val="single" w:sz="2" w:space="0" w:color="000000"/>
              <w:right w:val="nil"/>
            </w:tcBorders>
          </w:tcPr>
          <w:p w:rsidR="000A7928" w:rsidRPr="00245374" w:rsidRDefault="00B24530" w:rsidP="004D7F77">
            <w:pPr>
              <w:pStyle w:val="Standard"/>
              <w:spacing w:before="60" w:after="60" w:line="200" w:lineRule="atLeast"/>
              <w:rPr>
                <w:rFonts w:asciiTheme="minorHAnsi" w:hAnsiTheme="minorHAnsi" w:cstheme="minorHAnsi"/>
                <w:szCs w:val="24"/>
              </w:rPr>
            </w:pPr>
            <w:r w:rsidRPr="00B24530">
              <w:rPr>
                <w:rFonts w:asciiTheme="minorHAnsi" w:hAnsiTheme="minorHAnsi" w:cstheme="minorHAnsi"/>
                <w:sz w:val="14"/>
                <w:szCs w:val="24"/>
                <w:lang w:eastAsia="fr-FR"/>
              </w:rPr>
              <w:t xml:space="preserve">Élèves inscrits en CPGE dans les établissements publics ou privés du </w:t>
            </w:r>
            <w:r w:rsidR="00801EB0">
              <w:rPr>
                <w:rFonts w:asciiTheme="minorHAnsi" w:hAnsiTheme="minorHAnsi" w:cstheme="minorHAnsi"/>
                <w:sz w:val="14"/>
                <w:szCs w:val="24"/>
                <w:lang w:eastAsia="fr-FR"/>
              </w:rPr>
              <w:t>MENJ</w:t>
            </w:r>
            <w:r w:rsidRPr="00B24530">
              <w:rPr>
                <w:rFonts w:asciiTheme="minorHAnsi" w:hAnsiTheme="minorHAnsi" w:cstheme="minorHAnsi"/>
                <w:sz w:val="14"/>
                <w:szCs w:val="24"/>
                <w:lang w:eastAsia="fr-FR"/>
              </w:rPr>
              <w:t xml:space="preserve"> ou des autres ministères.</w:t>
            </w:r>
          </w:p>
        </w:tc>
      </w:tr>
      <w:tr w:rsidR="000A7928" w:rsidRPr="00245374">
        <w:trPr>
          <w:trHeight w:val="510"/>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Sections de techniciens</w:t>
            </w:r>
            <w:r w:rsidR="00801EB0">
              <w:rPr>
                <w:rFonts w:asciiTheme="minorHAnsi" w:hAnsiTheme="minorHAnsi" w:cstheme="minorHAnsi"/>
                <w:sz w:val="14"/>
                <w:szCs w:val="24"/>
                <w:lang w:eastAsia="fr-FR"/>
              </w:rPr>
              <w:t xml:space="preserve"> supérieurs (STS) et assimilés </w:t>
            </w:r>
          </w:p>
        </w:tc>
        <w:tc>
          <w:tcPr>
            <w:tcW w:w="3260" w:type="dxa"/>
            <w:tcBorders>
              <w:top w:val="nil"/>
              <w:left w:val="nil"/>
              <w:bottom w:val="single" w:sz="2" w:space="0" w:color="000000"/>
              <w:right w:val="nil"/>
            </w:tcBorders>
          </w:tcPr>
          <w:p w:rsidR="000A7928" w:rsidRPr="00245374" w:rsidRDefault="00801EB0">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B24530" w:rsidRPr="00B24530">
              <w:rPr>
                <w:rFonts w:asciiTheme="minorHAnsi" w:hAnsiTheme="minorHAnsi" w:cstheme="minorHAnsi"/>
                <w:sz w:val="14"/>
                <w:szCs w:val="24"/>
                <w:lang w:eastAsia="fr-FR"/>
              </w:rPr>
              <w:t xml:space="preserve"> </w:t>
            </w:r>
            <w:r w:rsidR="00B24530">
              <w:rPr>
                <w:rFonts w:asciiTheme="minorHAnsi" w:hAnsiTheme="minorHAnsi" w:cstheme="minorHAnsi"/>
                <w:sz w:val="14"/>
                <w:szCs w:val="24"/>
                <w:lang w:eastAsia="fr-FR"/>
              </w:rPr>
              <w:t>–</w:t>
            </w:r>
            <w:r w:rsidR="00B24530" w:rsidRPr="00B24530">
              <w:rPr>
                <w:rFonts w:asciiTheme="minorHAnsi" w:hAnsiTheme="minorHAnsi" w:cstheme="minorHAnsi"/>
                <w:sz w:val="14"/>
                <w:szCs w:val="24"/>
                <w:lang w:eastAsia="fr-FR"/>
              </w:rPr>
              <w:t xml:space="preserve"> SIES</w:t>
            </w:r>
            <w:r w:rsidR="00B24530">
              <w:rPr>
                <w:rFonts w:asciiTheme="minorHAnsi" w:hAnsiTheme="minorHAnsi" w:cstheme="minorHAnsi"/>
                <w:sz w:val="14"/>
                <w:szCs w:val="24"/>
                <w:lang w:eastAsia="fr-FR"/>
              </w:rPr>
              <w:br/>
            </w:r>
            <w:r>
              <w:rPr>
                <w:rFonts w:asciiTheme="minorHAnsi" w:hAnsiTheme="minorHAnsi" w:cstheme="minorHAnsi"/>
                <w:sz w:val="14"/>
                <w:szCs w:val="24"/>
                <w:lang w:eastAsia="fr-FR"/>
              </w:rPr>
              <w:t>MENJ</w:t>
            </w:r>
            <w:r w:rsidR="00B24530" w:rsidRPr="00B24530">
              <w:rPr>
                <w:rFonts w:asciiTheme="minorHAnsi" w:hAnsiTheme="minorHAnsi" w:cstheme="minorHAnsi"/>
                <w:sz w:val="14"/>
                <w:szCs w:val="24"/>
                <w:lang w:eastAsia="fr-FR"/>
              </w:rPr>
              <w:t>-</w:t>
            </w:r>
            <w:r>
              <w:rPr>
                <w:rFonts w:asciiTheme="minorHAnsi" w:hAnsiTheme="minorHAnsi" w:cstheme="minorHAnsi"/>
                <w:sz w:val="14"/>
                <w:szCs w:val="24"/>
                <w:lang w:eastAsia="fr-FR"/>
              </w:rPr>
              <w:t>MESR</w:t>
            </w:r>
            <w:r w:rsidR="00B24530" w:rsidRPr="00B24530">
              <w:rPr>
                <w:rFonts w:asciiTheme="minorHAnsi" w:hAnsiTheme="minorHAnsi" w:cstheme="minorHAnsi"/>
                <w:sz w:val="14"/>
                <w:szCs w:val="24"/>
                <w:lang w:eastAsia="fr-FR"/>
              </w:rPr>
              <w:t xml:space="preserve"> </w:t>
            </w:r>
            <w:r w:rsidR="00B24530">
              <w:rPr>
                <w:rFonts w:asciiTheme="minorHAnsi" w:hAnsiTheme="minorHAnsi" w:cstheme="minorHAnsi"/>
                <w:sz w:val="14"/>
                <w:szCs w:val="24"/>
                <w:lang w:eastAsia="fr-FR"/>
              </w:rPr>
              <w:t>–</w:t>
            </w:r>
            <w:r w:rsidR="00B24530" w:rsidRPr="00B24530">
              <w:rPr>
                <w:rFonts w:asciiTheme="minorHAnsi" w:hAnsiTheme="minorHAnsi" w:cstheme="minorHAnsi"/>
                <w:sz w:val="14"/>
                <w:szCs w:val="24"/>
                <w:lang w:eastAsia="fr-FR"/>
              </w:rPr>
              <w:t xml:space="preserve"> DEPP</w:t>
            </w:r>
            <w:r w:rsidR="00B24530">
              <w:rPr>
                <w:rFonts w:asciiTheme="minorHAnsi" w:hAnsiTheme="minorHAnsi" w:cstheme="minorHAnsi"/>
                <w:sz w:val="14"/>
                <w:szCs w:val="24"/>
                <w:lang w:eastAsia="fr-FR"/>
              </w:rPr>
              <w:br/>
            </w:r>
            <w:r w:rsidR="00B24530" w:rsidRPr="00B24530">
              <w:rPr>
                <w:rFonts w:asciiTheme="minorHAnsi" w:hAnsiTheme="minorHAnsi" w:cstheme="minorHAnsi"/>
                <w:sz w:val="14"/>
                <w:szCs w:val="24"/>
                <w:lang w:eastAsia="fr-FR"/>
              </w:rPr>
              <w:t>Ministère en charge de l’Agriculture et de la pêche</w:t>
            </w:r>
          </w:p>
        </w:tc>
        <w:tc>
          <w:tcPr>
            <w:tcW w:w="8505" w:type="dxa"/>
            <w:tcBorders>
              <w:top w:val="nil"/>
              <w:left w:val="nil"/>
              <w:bottom w:val="single" w:sz="2" w:space="0" w:color="000000"/>
              <w:right w:val="nil"/>
            </w:tcBorders>
          </w:tcPr>
          <w:p w:rsidR="00801EB0" w:rsidRPr="00B24530" w:rsidRDefault="00B24530" w:rsidP="00B24530">
            <w:pPr>
              <w:pStyle w:val="Standard"/>
              <w:spacing w:before="60" w:after="60" w:line="200" w:lineRule="atLeast"/>
              <w:rPr>
                <w:rFonts w:asciiTheme="minorHAnsi" w:hAnsiTheme="minorHAnsi" w:cstheme="minorHAnsi"/>
                <w:sz w:val="14"/>
                <w:szCs w:val="24"/>
                <w:lang w:eastAsia="fr-FR"/>
              </w:rPr>
            </w:pPr>
            <w:r w:rsidRPr="00B24530">
              <w:rPr>
                <w:rFonts w:asciiTheme="minorHAnsi" w:hAnsiTheme="minorHAnsi" w:cstheme="minorHAnsi"/>
                <w:sz w:val="14"/>
                <w:szCs w:val="24"/>
                <w:lang w:eastAsia="fr-FR"/>
              </w:rPr>
              <w:t>Élèves en formations post-baccalauréat assimilées aux STS (STS, DMA, DCESF, classes de mise à niveau a</w:t>
            </w:r>
            <w:r>
              <w:rPr>
                <w:rFonts w:asciiTheme="minorHAnsi" w:hAnsiTheme="minorHAnsi" w:cstheme="minorHAnsi"/>
                <w:sz w:val="14"/>
                <w:szCs w:val="24"/>
                <w:lang w:eastAsia="fr-FR"/>
              </w:rPr>
              <w:t>u BTS)</w:t>
            </w:r>
            <w:r w:rsidR="000125C8">
              <w:rPr>
                <w:rFonts w:asciiTheme="minorHAnsi" w:hAnsiTheme="minorHAnsi" w:cstheme="minorHAnsi"/>
                <w:sz w:val="14"/>
                <w:szCs w:val="24"/>
                <w:lang w:eastAsia="fr-FR"/>
              </w:rPr>
              <w:t xml:space="preserve"> y compris en apprentissage</w:t>
            </w:r>
            <w:r>
              <w:rPr>
                <w:rFonts w:asciiTheme="minorHAnsi" w:hAnsiTheme="minorHAnsi" w:cstheme="minorHAnsi"/>
                <w:sz w:val="14"/>
                <w:szCs w:val="24"/>
                <w:lang w:eastAsia="fr-FR"/>
              </w:rPr>
              <w:t xml:space="preserve">, dans les établissements </w:t>
            </w:r>
            <w:r w:rsidRPr="00B24530">
              <w:rPr>
                <w:rFonts w:asciiTheme="minorHAnsi" w:hAnsiTheme="minorHAnsi" w:cstheme="minorHAnsi"/>
                <w:sz w:val="14"/>
                <w:szCs w:val="24"/>
                <w:lang w:eastAsia="fr-FR"/>
              </w:rPr>
              <w:t xml:space="preserve">publics et privés du </w:t>
            </w:r>
            <w:r w:rsidR="00801EB0">
              <w:rPr>
                <w:rFonts w:asciiTheme="minorHAnsi" w:hAnsiTheme="minorHAnsi" w:cstheme="minorHAnsi"/>
                <w:sz w:val="14"/>
                <w:szCs w:val="24"/>
                <w:lang w:eastAsia="fr-FR"/>
              </w:rPr>
              <w:t>MENJ</w:t>
            </w:r>
            <w:r w:rsidRPr="00B24530">
              <w:rPr>
                <w:rFonts w:asciiTheme="minorHAnsi" w:hAnsiTheme="minorHAnsi" w:cstheme="minorHAnsi"/>
                <w:sz w:val="14"/>
                <w:szCs w:val="24"/>
                <w:lang w:eastAsia="fr-FR"/>
              </w:rPr>
              <w:t xml:space="preserve"> ou des autres ministères</w:t>
            </w:r>
          </w:p>
        </w:tc>
      </w:tr>
      <w:tr w:rsidR="000A7928" w:rsidRPr="00245374">
        <w:trPr>
          <w:trHeight w:val="510"/>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Universités</w:t>
            </w:r>
          </w:p>
        </w:tc>
        <w:tc>
          <w:tcPr>
            <w:tcW w:w="3260" w:type="dxa"/>
            <w:tcBorders>
              <w:top w:val="nil"/>
              <w:left w:val="nil"/>
              <w:bottom w:val="single" w:sz="2" w:space="0" w:color="000000"/>
              <w:right w:val="nil"/>
            </w:tcBorders>
          </w:tcPr>
          <w:p w:rsidR="000A7928" w:rsidRPr="00245374" w:rsidRDefault="00801EB0">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0A7928" w:rsidRPr="00245374">
              <w:rPr>
                <w:rFonts w:asciiTheme="minorHAnsi" w:hAnsiTheme="minorHAnsi" w:cstheme="minorHAnsi"/>
                <w:sz w:val="14"/>
                <w:szCs w:val="24"/>
                <w:lang w:eastAsia="fr-FR"/>
              </w:rPr>
              <w:t>-DGESIP/DGRI-SIE</w:t>
            </w:r>
            <w:r w:rsidR="004D7F77" w:rsidRPr="00245374">
              <w:rPr>
                <w:rFonts w:asciiTheme="minorHAnsi" w:hAnsiTheme="minorHAnsi" w:cstheme="minorHAnsi"/>
                <w:sz w:val="14"/>
                <w:szCs w:val="24"/>
                <w:lang w:eastAsia="fr-FR"/>
              </w:rPr>
              <w:t>S</w:t>
            </w:r>
          </w:p>
        </w:tc>
        <w:tc>
          <w:tcPr>
            <w:tcW w:w="8505" w:type="dxa"/>
            <w:tcBorders>
              <w:top w:val="nil"/>
              <w:left w:val="nil"/>
              <w:bottom w:val="single" w:sz="2" w:space="0" w:color="000000"/>
              <w:right w:val="nil"/>
            </w:tcBorders>
          </w:tcPr>
          <w:p w:rsidR="000A7928" w:rsidRPr="00245374" w:rsidRDefault="00B24530" w:rsidP="00B24530">
            <w:pPr>
              <w:pStyle w:val="Standard"/>
              <w:spacing w:before="60" w:after="60" w:line="200" w:lineRule="atLeast"/>
              <w:rPr>
                <w:rFonts w:asciiTheme="minorHAnsi" w:hAnsiTheme="minorHAnsi" w:cstheme="minorHAnsi"/>
                <w:szCs w:val="24"/>
              </w:rPr>
            </w:pPr>
            <w:r w:rsidRPr="00B24530">
              <w:rPr>
                <w:rFonts w:asciiTheme="minorHAnsi" w:hAnsiTheme="minorHAnsi" w:cstheme="minorHAnsi"/>
                <w:sz w:val="14"/>
                <w:szCs w:val="24"/>
                <w:lang w:eastAsia="fr-FR"/>
              </w:rPr>
              <w:t>Inscriptions principales en universités (</w:t>
            </w:r>
            <w:proofErr w:type="spellStart"/>
            <w:r w:rsidRPr="00B24530">
              <w:rPr>
                <w:rFonts w:asciiTheme="minorHAnsi" w:hAnsiTheme="minorHAnsi" w:cstheme="minorHAnsi"/>
                <w:sz w:val="14"/>
                <w:szCs w:val="24"/>
                <w:lang w:eastAsia="fr-FR"/>
              </w:rPr>
              <w:t>cf</w:t>
            </w:r>
            <w:proofErr w:type="spellEnd"/>
            <w:r w:rsidRPr="00B24530">
              <w:rPr>
                <w:rFonts w:asciiTheme="minorHAnsi" w:hAnsiTheme="minorHAnsi" w:cstheme="minorHAnsi"/>
                <w:sz w:val="14"/>
                <w:szCs w:val="24"/>
                <w:lang w:eastAsia="fr-FR"/>
              </w:rPr>
              <w:t xml:space="preserve"> lexique) y inclus la formation continue diplômante, par alternance, diplômes universitaires, DUT,</w:t>
            </w:r>
            <w:r>
              <w:rPr>
                <w:rFonts w:asciiTheme="minorHAnsi" w:hAnsiTheme="minorHAnsi" w:cstheme="minorHAnsi"/>
                <w:sz w:val="14"/>
                <w:szCs w:val="24"/>
                <w:lang w:eastAsia="fr-FR"/>
              </w:rPr>
              <w:t xml:space="preserve"> </w:t>
            </w:r>
            <w:r w:rsidRPr="00B24530">
              <w:rPr>
                <w:rFonts w:asciiTheme="minorHAnsi" w:hAnsiTheme="minorHAnsi" w:cstheme="minorHAnsi"/>
                <w:sz w:val="14"/>
                <w:szCs w:val="24"/>
                <w:lang w:eastAsia="fr-FR"/>
              </w:rPr>
              <w:t>DAEU, enseignement à distance et formations d’ingénieurs, doubles inscriptions CPGE. Les effectifs des universités à statut expérimentaux</w:t>
            </w:r>
            <w:r>
              <w:rPr>
                <w:rFonts w:asciiTheme="minorHAnsi" w:hAnsiTheme="minorHAnsi" w:cstheme="minorHAnsi"/>
                <w:sz w:val="14"/>
                <w:szCs w:val="24"/>
                <w:lang w:eastAsia="fr-FR"/>
              </w:rPr>
              <w:t xml:space="preserve"> </w:t>
            </w:r>
            <w:r w:rsidRPr="00B24530">
              <w:rPr>
                <w:rFonts w:asciiTheme="minorHAnsi" w:hAnsiTheme="minorHAnsi" w:cstheme="minorHAnsi"/>
                <w:sz w:val="14"/>
                <w:szCs w:val="24"/>
                <w:lang w:eastAsia="fr-FR"/>
              </w:rPr>
              <w:t>comprennent ceux de leurs établissements-composantes, mais pas ceux de leurs membres partenaires ou associés.</w:t>
            </w:r>
          </w:p>
        </w:tc>
      </w:tr>
      <w:tr w:rsidR="000A7928" w:rsidRPr="00245374" w:rsidTr="00A4729F">
        <w:trPr>
          <w:trHeight w:val="624"/>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 xml:space="preserve">Grands établissements </w:t>
            </w:r>
            <w:r w:rsidR="00801EB0">
              <w:rPr>
                <w:rFonts w:asciiTheme="minorHAnsi" w:hAnsiTheme="minorHAnsi" w:cstheme="minorHAnsi"/>
                <w:sz w:val="14"/>
                <w:szCs w:val="24"/>
                <w:lang w:eastAsia="fr-FR"/>
              </w:rPr>
              <w:t>MESR</w:t>
            </w:r>
          </w:p>
        </w:tc>
        <w:tc>
          <w:tcPr>
            <w:tcW w:w="3260" w:type="dxa"/>
            <w:tcBorders>
              <w:top w:val="nil"/>
              <w:left w:val="nil"/>
              <w:bottom w:val="single" w:sz="2" w:space="0" w:color="000000"/>
              <w:right w:val="nil"/>
            </w:tcBorders>
          </w:tcPr>
          <w:p w:rsidR="000A7928" w:rsidRPr="00245374" w:rsidRDefault="00801EB0">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0A7928" w:rsidRPr="00245374">
              <w:rPr>
                <w:rFonts w:asciiTheme="minorHAnsi" w:hAnsiTheme="minorHAnsi" w:cstheme="minorHAnsi"/>
                <w:sz w:val="14"/>
                <w:szCs w:val="24"/>
                <w:lang w:eastAsia="fr-FR"/>
              </w:rPr>
              <w:t>-DGESIP/DGRI-SIE</w:t>
            </w:r>
            <w:r w:rsidR="004D7F77" w:rsidRPr="00245374">
              <w:rPr>
                <w:rFonts w:asciiTheme="minorHAnsi" w:hAnsiTheme="minorHAnsi" w:cstheme="minorHAnsi"/>
                <w:sz w:val="14"/>
                <w:szCs w:val="24"/>
                <w:lang w:eastAsia="fr-FR"/>
              </w:rPr>
              <w:t>S</w:t>
            </w:r>
          </w:p>
        </w:tc>
        <w:tc>
          <w:tcPr>
            <w:tcW w:w="8505" w:type="dxa"/>
            <w:tcBorders>
              <w:top w:val="nil"/>
              <w:left w:val="nil"/>
              <w:bottom w:val="single" w:sz="2" w:space="0" w:color="000000"/>
              <w:right w:val="nil"/>
            </w:tcBorders>
          </w:tcPr>
          <w:p w:rsidR="000A7928" w:rsidRPr="00245374" w:rsidRDefault="000A7928" w:rsidP="00A4729F">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Inscriptions principales (y compris la formati</w:t>
            </w:r>
            <w:r w:rsidR="00A4729F">
              <w:rPr>
                <w:rFonts w:asciiTheme="minorHAnsi" w:hAnsiTheme="minorHAnsi" w:cstheme="minorHAnsi"/>
                <w:sz w:val="14"/>
                <w:szCs w:val="24"/>
                <w:lang w:eastAsia="fr-FR"/>
              </w:rPr>
              <w:t xml:space="preserve">on continue diplômante) dans </w:t>
            </w:r>
            <w:r w:rsidRPr="00245374">
              <w:rPr>
                <w:rFonts w:asciiTheme="minorHAnsi" w:hAnsiTheme="minorHAnsi" w:cstheme="minorHAnsi"/>
                <w:sz w:val="14"/>
                <w:szCs w:val="24"/>
                <w:lang w:eastAsia="fr-FR"/>
              </w:rPr>
              <w:t xml:space="preserve">grands établissements sous tutelle du </w:t>
            </w:r>
            <w:r w:rsidR="00801EB0">
              <w:rPr>
                <w:rFonts w:asciiTheme="minorHAnsi" w:hAnsiTheme="minorHAnsi" w:cstheme="minorHAnsi"/>
                <w:sz w:val="14"/>
                <w:szCs w:val="24"/>
                <w:lang w:eastAsia="fr-FR"/>
              </w:rPr>
              <w:t>MESR</w:t>
            </w:r>
            <w:r w:rsidR="00A4729F">
              <w:rPr>
                <w:rFonts w:asciiTheme="minorHAnsi" w:hAnsiTheme="minorHAnsi" w:cstheme="minorHAnsi"/>
                <w:sz w:val="14"/>
                <w:szCs w:val="24"/>
                <w:lang w:eastAsia="fr-FR"/>
              </w:rPr>
              <w:t xml:space="preserve">, hors établissements-composantes des universités à statut expérimentaux. </w:t>
            </w:r>
          </w:p>
        </w:tc>
      </w:tr>
      <w:tr w:rsidR="000A7928" w:rsidRPr="00245374">
        <w:trPr>
          <w:trHeight w:val="255"/>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 xml:space="preserve">Instituts nationaux polytechniques (INP)  </w:t>
            </w:r>
          </w:p>
        </w:tc>
        <w:tc>
          <w:tcPr>
            <w:tcW w:w="3260" w:type="dxa"/>
            <w:tcBorders>
              <w:top w:val="nil"/>
              <w:left w:val="nil"/>
              <w:bottom w:val="single" w:sz="2" w:space="0" w:color="000000"/>
              <w:right w:val="nil"/>
            </w:tcBorders>
          </w:tcPr>
          <w:p w:rsidR="000A7928" w:rsidRPr="00245374" w:rsidRDefault="00801EB0">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0A7928" w:rsidRPr="00245374">
              <w:rPr>
                <w:rFonts w:asciiTheme="minorHAnsi" w:hAnsiTheme="minorHAnsi" w:cstheme="minorHAnsi"/>
                <w:sz w:val="14"/>
                <w:szCs w:val="24"/>
                <w:lang w:eastAsia="fr-FR"/>
              </w:rPr>
              <w:t>-DGESIP/DGRI-SIE</w:t>
            </w:r>
            <w:r w:rsidR="004D7F77" w:rsidRPr="00245374">
              <w:rPr>
                <w:rFonts w:asciiTheme="minorHAnsi" w:hAnsiTheme="minorHAnsi" w:cstheme="minorHAnsi"/>
                <w:sz w:val="14"/>
                <w:szCs w:val="24"/>
                <w:lang w:eastAsia="fr-FR"/>
              </w:rPr>
              <w:t>S</w:t>
            </w:r>
          </w:p>
        </w:tc>
        <w:tc>
          <w:tcPr>
            <w:tcW w:w="8505"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 xml:space="preserve">Inscriptions principales à l'INP de Toulouse, de Lorraine (Jusqu’à 2010-11) et de Grenoble (jusqu’à 2006-2007), y compris la formation continue diplômante et les formations d’ingénieurs.  </w:t>
            </w:r>
          </w:p>
        </w:tc>
      </w:tr>
      <w:tr w:rsidR="000A7928" w:rsidRPr="00245374">
        <w:trPr>
          <w:trHeight w:val="412"/>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 xml:space="preserve">Universités de technologie (UT)  </w:t>
            </w:r>
          </w:p>
        </w:tc>
        <w:tc>
          <w:tcPr>
            <w:tcW w:w="3260" w:type="dxa"/>
            <w:tcBorders>
              <w:top w:val="nil"/>
              <w:left w:val="nil"/>
              <w:bottom w:val="single" w:sz="2" w:space="0" w:color="000000"/>
              <w:right w:val="nil"/>
            </w:tcBorders>
          </w:tcPr>
          <w:p w:rsidR="000A7928" w:rsidRPr="00245374" w:rsidRDefault="00801EB0">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0A7928" w:rsidRPr="00245374">
              <w:rPr>
                <w:rFonts w:asciiTheme="minorHAnsi" w:hAnsiTheme="minorHAnsi" w:cstheme="minorHAnsi"/>
                <w:sz w:val="14"/>
                <w:szCs w:val="24"/>
                <w:lang w:eastAsia="fr-FR"/>
              </w:rPr>
              <w:t>-DGESIP/DGRI-SIE</w:t>
            </w:r>
            <w:r w:rsidR="004D7F77" w:rsidRPr="00245374">
              <w:rPr>
                <w:rFonts w:asciiTheme="minorHAnsi" w:hAnsiTheme="minorHAnsi" w:cstheme="minorHAnsi"/>
                <w:sz w:val="14"/>
                <w:szCs w:val="24"/>
                <w:lang w:eastAsia="fr-FR"/>
              </w:rPr>
              <w:t>S</w:t>
            </w:r>
          </w:p>
        </w:tc>
        <w:tc>
          <w:tcPr>
            <w:tcW w:w="8505"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 xml:space="preserve">Inscriptions principales dans les UT de Belfort-Montbéliard, Compiègne et Troyes, y compris la formation continue diplômante et les formations d’ingénieurs.  </w:t>
            </w:r>
          </w:p>
        </w:tc>
      </w:tr>
      <w:tr w:rsidR="000A7928" w:rsidRPr="00245374">
        <w:trPr>
          <w:trHeight w:val="561"/>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 xml:space="preserve">Autres formations d’ingénieurs  </w:t>
            </w:r>
          </w:p>
        </w:tc>
        <w:tc>
          <w:tcPr>
            <w:tcW w:w="3260" w:type="dxa"/>
            <w:tcBorders>
              <w:top w:val="nil"/>
              <w:left w:val="nil"/>
              <w:bottom w:val="single" w:sz="2" w:space="0" w:color="000000"/>
              <w:right w:val="nil"/>
            </w:tcBorders>
          </w:tcPr>
          <w:p w:rsidR="000A7928" w:rsidRPr="00245374" w:rsidRDefault="00801EB0">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0A7928" w:rsidRPr="00245374">
              <w:rPr>
                <w:rFonts w:asciiTheme="minorHAnsi" w:hAnsiTheme="minorHAnsi" w:cstheme="minorHAnsi"/>
                <w:sz w:val="14"/>
                <w:szCs w:val="24"/>
                <w:lang w:eastAsia="fr-FR"/>
              </w:rPr>
              <w:t>-DGESIP/DGRI-SIE</w:t>
            </w:r>
            <w:r w:rsidR="004D7F77" w:rsidRPr="00245374">
              <w:rPr>
                <w:rFonts w:asciiTheme="minorHAnsi" w:hAnsiTheme="minorHAnsi" w:cstheme="minorHAnsi"/>
                <w:sz w:val="14"/>
                <w:szCs w:val="24"/>
                <w:lang w:eastAsia="fr-FR"/>
              </w:rPr>
              <w:t>S</w:t>
            </w:r>
          </w:p>
        </w:tc>
        <w:tc>
          <w:tcPr>
            <w:tcW w:w="8505"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Inscriptions principales dans le</w:t>
            </w:r>
            <w:r w:rsidR="00496241">
              <w:rPr>
                <w:rFonts w:asciiTheme="minorHAnsi" w:hAnsiTheme="minorHAnsi" w:cstheme="minorHAnsi"/>
                <w:sz w:val="14"/>
                <w:szCs w:val="24"/>
                <w:lang w:eastAsia="fr-FR"/>
              </w:rPr>
              <w:t>s formations d’ingénieurs d’</w:t>
            </w:r>
            <w:r w:rsidRPr="00245374">
              <w:rPr>
                <w:rFonts w:asciiTheme="minorHAnsi" w:hAnsiTheme="minorHAnsi" w:cstheme="minorHAnsi"/>
                <w:sz w:val="14"/>
                <w:szCs w:val="24"/>
                <w:lang w:eastAsia="fr-FR"/>
              </w:rPr>
              <w:t xml:space="preserve">écoles d’ingénieurs rattachées à une université (L. 719-10), des écoles publiques sous tutelle du </w:t>
            </w:r>
            <w:r w:rsidR="00801EB0">
              <w:rPr>
                <w:rFonts w:asciiTheme="minorHAnsi" w:hAnsiTheme="minorHAnsi" w:cstheme="minorHAnsi"/>
                <w:sz w:val="14"/>
                <w:szCs w:val="24"/>
                <w:lang w:eastAsia="fr-FR"/>
              </w:rPr>
              <w:t>MESR</w:t>
            </w:r>
            <w:r w:rsidRPr="00245374">
              <w:rPr>
                <w:rFonts w:asciiTheme="minorHAnsi" w:hAnsiTheme="minorHAnsi" w:cstheme="minorHAnsi"/>
                <w:sz w:val="14"/>
                <w:szCs w:val="24"/>
                <w:lang w:eastAsia="fr-FR"/>
              </w:rPr>
              <w:t xml:space="preserve"> (Ecoles centrales hors Paris, INSA et autres) ou sous tutelle des autres ministères, ou dans les formations d’ingénieurs des écoles d’ingénieurs privées.  </w:t>
            </w:r>
          </w:p>
        </w:tc>
      </w:tr>
      <w:tr w:rsidR="000A7928" w:rsidRPr="00245374">
        <w:trPr>
          <w:trHeight w:val="255"/>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b/>
                <w:sz w:val="14"/>
                <w:szCs w:val="24"/>
              </w:rPr>
              <w:t>É</w:t>
            </w:r>
            <w:r w:rsidRPr="00245374">
              <w:rPr>
                <w:rFonts w:asciiTheme="minorHAnsi" w:hAnsiTheme="minorHAnsi" w:cstheme="minorHAnsi"/>
                <w:sz w:val="14"/>
                <w:szCs w:val="24"/>
                <w:lang w:eastAsia="fr-FR"/>
              </w:rPr>
              <w:t xml:space="preserve">coles normales supérieures (ENS)  </w:t>
            </w:r>
          </w:p>
        </w:tc>
        <w:tc>
          <w:tcPr>
            <w:tcW w:w="3260" w:type="dxa"/>
            <w:tcBorders>
              <w:top w:val="nil"/>
              <w:left w:val="nil"/>
              <w:bottom w:val="single" w:sz="2" w:space="0" w:color="000000"/>
              <w:right w:val="nil"/>
            </w:tcBorders>
          </w:tcPr>
          <w:p w:rsidR="000A7928" w:rsidRPr="00245374" w:rsidRDefault="00801EB0">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0A7928" w:rsidRPr="00245374">
              <w:rPr>
                <w:rFonts w:asciiTheme="minorHAnsi" w:hAnsiTheme="minorHAnsi" w:cstheme="minorHAnsi"/>
                <w:sz w:val="14"/>
                <w:szCs w:val="24"/>
                <w:lang w:eastAsia="fr-FR"/>
              </w:rPr>
              <w:t>-DGESIP/DGRI-SIE</w:t>
            </w:r>
            <w:r w:rsidR="004D7F77" w:rsidRPr="00245374">
              <w:rPr>
                <w:rFonts w:asciiTheme="minorHAnsi" w:hAnsiTheme="minorHAnsi" w:cstheme="minorHAnsi"/>
                <w:sz w:val="14"/>
                <w:szCs w:val="24"/>
                <w:lang w:eastAsia="fr-FR"/>
              </w:rPr>
              <w:t>S</w:t>
            </w:r>
          </w:p>
        </w:tc>
        <w:tc>
          <w:tcPr>
            <w:tcW w:w="8505"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To</w:t>
            </w:r>
            <w:r w:rsidR="00A4729F">
              <w:rPr>
                <w:rFonts w:asciiTheme="minorHAnsi" w:hAnsiTheme="minorHAnsi" w:cstheme="minorHAnsi"/>
                <w:sz w:val="14"/>
                <w:szCs w:val="24"/>
                <w:lang w:eastAsia="fr-FR"/>
              </w:rPr>
              <w:t>utes formations de ces écoles, hors établissements-composantes des universités à statuts expérimentaux.</w:t>
            </w:r>
          </w:p>
        </w:tc>
      </w:tr>
      <w:tr w:rsidR="000A7928" w:rsidRPr="00245374">
        <w:trPr>
          <w:trHeight w:val="266"/>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b/>
                <w:sz w:val="14"/>
                <w:szCs w:val="24"/>
              </w:rPr>
              <w:t>É</w:t>
            </w:r>
            <w:r w:rsidRPr="00245374">
              <w:rPr>
                <w:rFonts w:asciiTheme="minorHAnsi" w:hAnsiTheme="minorHAnsi" w:cstheme="minorHAnsi"/>
                <w:sz w:val="14"/>
                <w:szCs w:val="24"/>
                <w:lang w:eastAsia="fr-FR"/>
              </w:rPr>
              <w:t xml:space="preserve">tablissements d’enseignement universitaire privés  </w:t>
            </w:r>
          </w:p>
        </w:tc>
        <w:tc>
          <w:tcPr>
            <w:tcW w:w="3260" w:type="dxa"/>
            <w:tcBorders>
              <w:top w:val="nil"/>
              <w:left w:val="nil"/>
              <w:bottom w:val="single" w:sz="2" w:space="0" w:color="000000"/>
              <w:right w:val="nil"/>
            </w:tcBorders>
          </w:tcPr>
          <w:p w:rsidR="000A7928" w:rsidRPr="00245374" w:rsidRDefault="00801EB0">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0A7928" w:rsidRPr="00245374">
              <w:rPr>
                <w:rFonts w:asciiTheme="minorHAnsi" w:hAnsiTheme="minorHAnsi" w:cstheme="minorHAnsi"/>
                <w:sz w:val="14"/>
                <w:szCs w:val="24"/>
                <w:lang w:eastAsia="fr-FR"/>
              </w:rPr>
              <w:t>-DGESIP/DGRI-SIE</w:t>
            </w:r>
            <w:r w:rsidR="004D7F77" w:rsidRPr="00245374">
              <w:rPr>
                <w:rFonts w:asciiTheme="minorHAnsi" w:hAnsiTheme="minorHAnsi" w:cstheme="minorHAnsi"/>
                <w:sz w:val="14"/>
                <w:szCs w:val="24"/>
                <w:lang w:eastAsia="fr-FR"/>
              </w:rPr>
              <w:t>S</w:t>
            </w:r>
          </w:p>
        </w:tc>
        <w:tc>
          <w:tcPr>
            <w:tcW w:w="8505"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 xml:space="preserve">Effectifs des formations préparant aux diplômes nationaux et autres diplômes délivrés par ces établissements.  </w:t>
            </w:r>
          </w:p>
        </w:tc>
      </w:tr>
      <w:tr w:rsidR="000A7928" w:rsidRPr="00245374">
        <w:trPr>
          <w:trHeight w:val="316"/>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b/>
                <w:sz w:val="14"/>
                <w:szCs w:val="24"/>
              </w:rPr>
              <w:t>É</w:t>
            </w:r>
            <w:r w:rsidRPr="00245374">
              <w:rPr>
                <w:rFonts w:asciiTheme="minorHAnsi" w:hAnsiTheme="minorHAnsi" w:cstheme="minorHAnsi"/>
                <w:sz w:val="14"/>
                <w:szCs w:val="24"/>
                <w:lang w:eastAsia="fr-FR"/>
              </w:rPr>
              <w:t xml:space="preserve">coles de commerce, gestion et comptabilité  </w:t>
            </w:r>
          </w:p>
        </w:tc>
        <w:tc>
          <w:tcPr>
            <w:tcW w:w="3260" w:type="dxa"/>
            <w:tcBorders>
              <w:top w:val="nil"/>
              <w:left w:val="nil"/>
              <w:bottom w:val="single" w:sz="2" w:space="0" w:color="000000"/>
              <w:right w:val="nil"/>
            </w:tcBorders>
          </w:tcPr>
          <w:p w:rsidR="000A7928" w:rsidRPr="00245374" w:rsidRDefault="00801EB0">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0A7928" w:rsidRPr="00245374">
              <w:rPr>
                <w:rFonts w:asciiTheme="minorHAnsi" w:hAnsiTheme="minorHAnsi" w:cstheme="minorHAnsi"/>
                <w:sz w:val="14"/>
                <w:szCs w:val="24"/>
                <w:lang w:eastAsia="fr-FR"/>
              </w:rPr>
              <w:t>-DGESI</w:t>
            </w:r>
            <w:r w:rsidR="004D7F77" w:rsidRPr="00245374">
              <w:rPr>
                <w:rFonts w:asciiTheme="minorHAnsi" w:hAnsiTheme="minorHAnsi" w:cstheme="minorHAnsi"/>
                <w:sz w:val="14"/>
                <w:szCs w:val="24"/>
                <w:lang w:eastAsia="fr-FR"/>
              </w:rPr>
              <w:t>P/DGRI-SIES</w:t>
            </w:r>
          </w:p>
        </w:tc>
        <w:tc>
          <w:tcPr>
            <w:tcW w:w="8505"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Toutes formations d’enseignement supérieur de ces écoles (formations principales, cycles préparatoires, sp</w:t>
            </w:r>
            <w:r w:rsidR="00A4729F">
              <w:rPr>
                <w:rFonts w:asciiTheme="minorHAnsi" w:hAnsiTheme="minorHAnsi" w:cstheme="minorHAnsi"/>
                <w:sz w:val="14"/>
                <w:szCs w:val="24"/>
                <w:lang w:eastAsia="fr-FR"/>
              </w:rPr>
              <w:t>écialisations, master et MBA) , hors établissements-composantes des universités à statuts expérimentaux.</w:t>
            </w:r>
          </w:p>
        </w:tc>
      </w:tr>
      <w:tr w:rsidR="000A7928" w:rsidRPr="00245374">
        <w:trPr>
          <w:trHeight w:val="255"/>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b/>
                <w:sz w:val="14"/>
                <w:szCs w:val="24"/>
              </w:rPr>
              <w:t>É</w:t>
            </w:r>
            <w:r w:rsidRPr="00245374">
              <w:rPr>
                <w:rFonts w:asciiTheme="minorHAnsi" w:hAnsiTheme="minorHAnsi" w:cstheme="minorHAnsi"/>
                <w:sz w:val="14"/>
                <w:szCs w:val="24"/>
                <w:lang w:eastAsia="fr-FR"/>
              </w:rPr>
              <w:t xml:space="preserve">coles juridiques et administratives  </w:t>
            </w:r>
          </w:p>
        </w:tc>
        <w:tc>
          <w:tcPr>
            <w:tcW w:w="3260" w:type="dxa"/>
            <w:tcBorders>
              <w:top w:val="nil"/>
              <w:left w:val="nil"/>
              <w:bottom w:val="single" w:sz="2" w:space="0" w:color="000000"/>
              <w:right w:val="nil"/>
            </w:tcBorders>
          </w:tcPr>
          <w:p w:rsidR="000A7928" w:rsidRPr="00245374" w:rsidRDefault="00801EB0">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0A7928" w:rsidRPr="00245374">
              <w:rPr>
                <w:rFonts w:asciiTheme="minorHAnsi" w:hAnsiTheme="minorHAnsi" w:cstheme="minorHAnsi"/>
                <w:sz w:val="14"/>
                <w:szCs w:val="24"/>
                <w:lang w:eastAsia="fr-FR"/>
              </w:rPr>
              <w:t>-D</w:t>
            </w:r>
            <w:r w:rsidR="004D7F77" w:rsidRPr="00245374">
              <w:rPr>
                <w:rFonts w:asciiTheme="minorHAnsi" w:hAnsiTheme="minorHAnsi" w:cstheme="minorHAnsi"/>
                <w:sz w:val="14"/>
                <w:szCs w:val="24"/>
                <w:lang w:eastAsia="fr-FR"/>
              </w:rPr>
              <w:t>GESIP/DGRI-SIES</w:t>
            </w:r>
          </w:p>
        </w:tc>
        <w:tc>
          <w:tcPr>
            <w:tcW w:w="8505"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 xml:space="preserve">Toutes formations d’enseignement supérieur de ces écoles.  </w:t>
            </w:r>
          </w:p>
        </w:tc>
      </w:tr>
      <w:tr w:rsidR="000A7928" w:rsidRPr="00245374">
        <w:trPr>
          <w:trHeight w:val="405"/>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b/>
                <w:sz w:val="14"/>
                <w:szCs w:val="24"/>
              </w:rPr>
              <w:t>É</w:t>
            </w:r>
            <w:r w:rsidRPr="00245374">
              <w:rPr>
                <w:rFonts w:asciiTheme="minorHAnsi" w:hAnsiTheme="minorHAnsi" w:cstheme="minorHAnsi"/>
                <w:sz w:val="14"/>
                <w:szCs w:val="24"/>
                <w:lang w:eastAsia="fr-FR"/>
              </w:rPr>
              <w:t xml:space="preserve">coles supérieures art et culture  </w:t>
            </w:r>
          </w:p>
        </w:tc>
        <w:tc>
          <w:tcPr>
            <w:tcW w:w="3260" w:type="dxa"/>
            <w:tcBorders>
              <w:top w:val="nil"/>
              <w:left w:val="nil"/>
              <w:bottom w:val="single" w:sz="2" w:space="0" w:color="000000"/>
              <w:right w:val="nil"/>
            </w:tcBorders>
          </w:tcPr>
          <w:p w:rsidR="000A7928" w:rsidRPr="00245374" w:rsidRDefault="00801EB0">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0A7928" w:rsidRPr="00245374">
              <w:rPr>
                <w:rFonts w:asciiTheme="minorHAnsi" w:hAnsiTheme="minorHAnsi" w:cstheme="minorHAnsi"/>
                <w:sz w:val="14"/>
                <w:szCs w:val="24"/>
                <w:lang w:eastAsia="fr-FR"/>
              </w:rPr>
              <w:t>-DG</w:t>
            </w:r>
            <w:r w:rsidR="004D7F77" w:rsidRPr="00245374">
              <w:rPr>
                <w:rFonts w:asciiTheme="minorHAnsi" w:hAnsiTheme="minorHAnsi" w:cstheme="minorHAnsi"/>
                <w:sz w:val="14"/>
                <w:szCs w:val="24"/>
                <w:lang w:eastAsia="fr-FR"/>
              </w:rPr>
              <w:t>ESIP/DGRI-SIES</w:t>
            </w:r>
          </w:p>
        </w:tc>
        <w:tc>
          <w:tcPr>
            <w:tcW w:w="8505"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Toutes formations d’enseignement supérieur de ces écoles, y compris les écoles supérieures d’architecture, de journalisme et de communication</w:t>
            </w:r>
            <w:r w:rsidR="00A4729F">
              <w:rPr>
                <w:rFonts w:asciiTheme="minorHAnsi" w:hAnsiTheme="minorHAnsi" w:cstheme="minorHAnsi"/>
                <w:sz w:val="14"/>
                <w:szCs w:val="24"/>
                <w:lang w:eastAsia="fr-FR"/>
              </w:rPr>
              <w:t>, hors établissements-composantes des universités à statuts expérimentaux.</w:t>
            </w:r>
          </w:p>
        </w:tc>
      </w:tr>
      <w:tr w:rsidR="000A7928" w:rsidRPr="00245374">
        <w:trPr>
          <w:trHeight w:val="283"/>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b/>
                <w:sz w:val="14"/>
                <w:szCs w:val="24"/>
              </w:rPr>
              <w:t>É</w:t>
            </w:r>
            <w:r w:rsidRPr="00245374">
              <w:rPr>
                <w:rFonts w:asciiTheme="minorHAnsi" w:hAnsiTheme="minorHAnsi" w:cstheme="minorHAnsi"/>
                <w:sz w:val="14"/>
                <w:szCs w:val="24"/>
                <w:lang w:eastAsia="fr-FR"/>
              </w:rPr>
              <w:t xml:space="preserve">coles paramédicales et sociales  </w:t>
            </w:r>
          </w:p>
        </w:tc>
        <w:tc>
          <w:tcPr>
            <w:tcW w:w="3260"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 xml:space="preserve">Ministère en charge de la Santé  </w:t>
            </w:r>
          </w:p>
        </w:tc>
        <w:tc>
          <w:tcPr>
            <w:tcW w:w="8505" w:type="dxa"/>
            <w:tcBorders>
              <w:top w:val="nil"/>
              <w:left w:val="nil"/>
              <w:bottom w:val="single" w:sz="2" w:space="0" w:color="000000"/>
              <w:right w:val="nil"/>
            </w:tcBorders>
          </w:tcPr>
          <w:p w:rsidR="000A7928" w:rsidRPr="00245374" w:rsidRDefault="000A7928" w:rsidP="000125C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Toutes formations d’enseignement supérieur de ces école</w:t>
            </w:r>
            <w:r w:rsidR="004D7F77" w:rsidRPr="00245374">
              <w:rPr>
                <w:rFonts w:asciiTheme="minorHAnsi" w:hAnsiTheme="minorHAnsi" w:cstheme="minorHAnsi"/>
                <w:sz w:val="14"/>
                <w:szCs w:val="24"/>
                <w:lang w:eastAsia="fr-FR"/>
              </w:rPr>
              <w:t>s</w:t>
            </w:r>
            <w:r w:rsidR="00A4729F">
              <w:rPr>
                <w:rFonts w:asciiTheme="minorHAnsi" w:hAnsiTheme="minorHAnsi" w:cstheme="minorHAnsi"/>
                <w:sz w:val="14"/>
                <w:szCs w:val="24"/>
                <w:lang w:eastAsia="fr-FR"/>
              </w:rPr>
              <w:t>, hors établissements-composantes des universités à statuts expérimentaux</w:t>
            </w:r>
            <w:r w:rsidR="004D7F77" w:rsidRPr="00245374">
              <w:rPr>
                <w:rFonts w:asciiTheme="minorHAnsi" w:hAnsiTheme="minorHAnsi" w:cstheme="minorHAnsi"/>
                <w:sz w:val="14"/>
                <w:szCs w:val="24"/>
                <w:lang w:eastAsia="fr-FR"/>
              </w:rPr>
              <w:t>. Données provisoires pour 20</w:t>
            </w:r>
            <w:r w:rsidR="00A4729F">
              <w:rPr>
                <w:rFonts w:asciiTheme="minorHAnsi" w:hAnsiTheme="minorHAnsi" w:cstheme="minorHAnsi"/>
                <w:sz w:val="14"/>
                <w:szCs w:val="24"/>
                <w:lang w:eastAsia="fr-FR"/>
              </w:rPr>
              <w:t>2</w:t>
            </w:r>
            <w:r w:rsidR="00005B9B">
              <w:rPr>
                <w:rFonts w:asciiTheme="minorHAnsi" w:hAnsiTheme="minorHAnsi" w:cstheme="minorHAnsi"/>
                <w:sz w:val="14"/>
                <w:szCs w:val="24"/>
                <w:lang w:eastAsia="fr-FR"/>
              </w:rPr>
              <w:t>3</w:t>
            </w:r>
            <w:r w:rsidR="004D7F77" w:rsidRPr="00245374">
              <w:rPr>
                <w:rFonts w:asciiTheme="minorHAnsi" w:hAnsiTheme="minorHAnsi" w:cstheme="minorHAnsi"/>
                <w:sz w:val="14"/>
                <w:szCs w:val="24"/>
                <w:lang w:eastAsia="fr-FR"/>
              </w:rPr>
              <w:t>-</w:t>
            </w:r>
            <w:r w:rsidR="00A4729F">
              <w:rPr>
                <w:rFonts w:asciiTheme="minorHAnsi" w:hAnsiTheme="minorHAnsi" w:cstheme="minorHAnsi"/>
                <w:sz w:val="14"/>
                <w:szCs w:val="24"/>
                <w:lang w:eastAsia="fr-FR"/>
              </w:rPr>
              <w:t>2</w:t>
            </w:r>
            <w:r w:rsidR="00005B9B">
              <w:rPr>
                <w:rFonts w:asciiTheme="minorHAnsi" w:hAnsiTheme="minorHAnsi" w:cstheme="minorHAnsi"/>
                <w:sz w:val="14"/>
                <w:szCs w:val="24"/>
                <w:lang w:eastAsia="fr-FR"/>
              </w:rPr>
              <w:t>4</w:t>
            </w:r>
            <w:r w:rsidR="004D7F77" w:rsidRPr="00245374">
              <w:rPr>
                <w:rFonts w:asciiTheme="minorHAnsi" w:hAnsiTheme="minorHAnsi" w:cstheme="minorHAnsi"/>
                <w:sz w:val="14"/>
                <w:szCs w:val="24"/>
                <w:lang w:eastAsia="fr-FR"/>
              </w:rPr>
              <w:t>, données de 20</w:t>
            </w:r>
            <w:r w:rsidR="00FD7CFA">
              <w:rPr>
                <w:rFonts w:asciiTheme="minorHAnsi" w:hAnsiTheme="minorHAnsi" w:cstheme="minorHAnsi"/>
                <w:sz w:val="14"/>
                <w:szCs w:val="24"/>
                <w:lang w:eastAsia="fr-FR"/>
              </w:rPr>
              <w:t>22</w:t>
            </w:r>
            <w:r w:rsidR="004D7F77" w:rsidRPr="00245374">
              <w:rPr>
                <w:rFonts w:asciiTheme="minorHAnsi" w:hAnsiTheme="minorHAnsi" w:cstheme="minorHAnsi"/>
                <w:sz w:val="14"/>
                <w:szCs w:val="24"/>
                <w:lang w:eastAsia="fr-FR"/>
              </w:rPr>
              <w:t>-20</w:t>
            </w:r>
            <w:r w:rsidR="00A4729F">
              <w:rPr>
                <w:rFonts w:asciiTheme="minorHAnsi" w:hAnsiTheme="minorHAnsi" w:cstheme="minorHAnsi"/>
                <w:sz w:val="14"/>
                <w:szCs w:val="24"/>
                <w:lang w:eastAsia="fr-FR"/>
              </w:rPr>
              <w:t>2</w:t>
            </w:r>
            <w:r w:rsidR="00FD7CFA">
              <w:rPr>
                <w:rFonts w:asciiTheme="minorHAnsi" w:hAnsiTheme="minorHAnsi" w:cstheme="minorHAnsi"/>
                <w:sz w:val="14"/>
                <w:szCs w:val="24"/>
                <w:lang w:eastAsia="fr-FR"/>
              </w:rPr>
              <w:t>3</w:t>
            </w:r>
            <w:r w:rsidR="00A4729F">
              <w:rPr>
                <w:rFonts w:asciiTheme="minorHAnsi" w:hAnsiTheme="minorHAnsi" w:cstheme="minorHAnsi"/>
                <w:sz w:val="14"/>
                <w:szCs w:val="24"/>
                <w:lang w:eastAsia="fr-FR"/>
              </w:rPr>
              <w:t xml:space="preserve"> reconduites.</w:t>
            </w:r>
          </w:p>
        </w:tc>
      </w:tr>
      <w:tr w:rsidR="000A7928" w:rsidRPr="00245374">
        <w:trPr>
          <w:trHeight w:val="283"/>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 xml:space="preserve">Autres écoles de spécialités diverses  </w:t>
            </w:r>
          </w:p>
        </w:tc>
        <w:tc>
          <w:tcPr>
            <w:tcW w:w="3260" w:type="dxa"/>
            <w:tcBorders>
              <w:top w:val="nil"/>
              <w:left w:val="nil"/>
              <w:bottom w:val="single" w:sz="2" w:space="0" w:color="000000"/>
              <w:right w:val="nil"/>
            </w:tcBorders>
          </w:tcPr>
          <w:p w:rsidR="000A7928" w:rsidRPr="00245374" w:rsidRDefault="00C844F3" w:rsidP="00B24530">
            <w:pPr>
              <w:pStyle w:val="Standard"/>
              <w:spacing w:before="60" w:after="60" w:line="200" w:lineRule="atLeast"/>
              <w:rPr>
                <w:rFonts w:asciiTheme="minorHAnsi" w:hAnsiTheme="minorHAnsi" w:cstheme="minorHAnsi"/>
                <w:sz w:val="14"/>
                <w:szCs w:val="24"/>
                <w:lang w:eastAsia="fr-FR"/>
              </w:rPr>
            </w:pPr>
            <w:r>
              <w:rPr>
                <w:rFonts w:asciiTheme="minorHAnsi" w:hAnsiTheme="minorHAnsi" w:cstheme="minorHAnsi"/>
                <w:sz w:val="14"/>
                <w:szCs w:val="24"/>
                <w:lang w:eastAsia="fr-FR"/>
              </w:rPr>
              <w:t>MESR</w:t>
            </w:r>
            <w:r w:rsidRPr="00245374">
              <w:rPr>
                <w:rFonts w:asciiTheme="minorHAnsi" w:hAnsiTheme="minorHAnsi" w:cstheme="minorHAnsi"/>
                <w:sz w:val="14"/>
                <w:szCs w:val="24"/>
                <w:lang w:eastAsia="fr-FR"/>
              </w:rPr>
              <w:t>-DGESIP/DGRI-SIES</w:t>
            </w:r>
            <w:r w:rsidR="00B24530">
              <w:rPr>
                <w:rFonts w:asciiTheme="minorHAnsi" w:hAnsiTheme="minorHAnsi" w:cstheme="minorHAnsi"/>
                <w:sz w:val="14"/>
                <w:szCs w:val="24"/>
                <w:lang w:eastAsia="fr-FR"/>
              </w:rPr>
              <w:br/>
            </w:r>
            <w:r w:rsidR="00801EB0">
              <w:rPr>
                <w:rFonts w:asciiTheme="minorHAnsi" w:hAnsiTheme="minorHAnsi" w:cstheme="minorHAnsi"/>
                <w:sz w:val="14"/>
                <w:szCs w:val="24"/>
                <w:lang w:eastAsia="fr-FR"/>
              </w:rPr>
              <w:t>MENJ</w:t>
            </w:r>
            <w:r w:rsidR="00B24530" w:rsidRPr="00B24530">
              <w:rPr>
                <w:rFonts w:asciiTheme="minorHAnsi" w:hAnsiTheme="minorHAnsi" w:cstheme="minorHAnsi"/>
                <w:sz w:val="14"/>
                <w:szCs w:val="24"/>
                <w:lang w:eastAsia="fr-FR"/>
              </w:rPr>
              <w:t>-</w:t>
            </w:r>
            <w:r w:rsidR="00801EB0">
              <w:rPr>
                <w:rFonts w:asciiTheme="minorHAnsi" w:hAnsiTheme="minorHAnsi" w:cstheme="minorHAnsi"/>
                <w:sz w:val="14"/>
                <w:szCs w:val="24"/>
                <w:lang w:eastAsia="fr-FR"/>
              </w:rPr>
              <w:t>MESR</w:t>
            </w:r>
            <w:r w:rsidR="00B24530" w:rsidRPr="00B24530">
              <w:rPr>
                <w:rFonts w:asciiTheme="minorHAnsi" w:hAnsiTheme="minorHAnsi" w:cstheme="minorHAnsi"/>
                <w:sz w:val="14"/>
                <w:szCs w:val="24"/>
                <w:lang w:eastAsia="fr-FR"/>
              </w:rPr>
              <w:t xml:space="preserve"> </w:t>
            </w:r>
            <w:r w:rsidR="00B24530">
              <w:rPr>
                <w:rFonts w:asciiTheme="minorHAnsi" w:hAnsiTheme="minorHAnsi" w:cstheme="minorHAnsi"/>
                <w:sz w:val="14"/>
                <w:szCs w:val="24"/>
                <w:lang w:eastAsia="fr-FR"/>
              </w:rPr>
              <w:t>–</w:t>
            </w:r>
            <w:r w:rsidR="00B24530" w:rsidRPr="00B24530">
              <w:rPr>
                <w:rFonts w:asciiTheme="minorHAnsi" w:hAnsiTheme="minorHAnsi" w:cstheme="minorHAnsi"/>
                <w:sz w:val="14"/>
                <w:szCs w:val="24"/>
                <w:lang w:eastAsia="fr-FR"/>
              </w:rPr>
              <w:t xml:space="preserve"> DEPP</w:t>
            </w:r>
          </w:p>
        </w:tc>
        <w:tc>
          <w:tcPr>
            <w:tcW w:w="8505"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Toutes autres format</w:t>
            </w:r>
            <w:r w:rsidR="00A4729F">
              <w:rPr>
                <w:rFonts w:asciiTheme="minorHAnsi" w:hAnsiTheme="minorHAnsi" w:cstheme="minorHAnsi"/>
                <w:sz w:val="14"/>
                <w:szCs w:val="24"/>
                <w:lang w:eastAsia="fr-FR"/>
              </w:rPr>
              <w:t>ions d’enseignement supérieur.</w:t>
            </w:r>
          </w:p>
        </w:tc>
      </w:tr>
      <w:tr w:rsidR="000A7928" w:rsidRPr="00245374" w:rsidTr="00B24530">
        <w:trPr>
          <w:trHeight w:val="255"/>
        </w:trPr>
        <w:tc>
          <w:tcPr>
            <w:tcW w:w="2157" w:type="dxa"/>
            <w:tcBorders>
              <w:top w:val="nil"/>
              <w:left w:val="nil"/>
              <w:bottom w:val="nil"/>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Formations d'IUT</w:t>
            </w:r>
          </w:p>
        </w:tc>
        <w:tc>
          <w:tcPr>
            <w:tcW w:w="3260" w:type="dxa"/>
            <w:tcBorders>
              <w:top w:val="nil"/>
              <w:left w:val="nil"/>
              <w:bottom w:val="nil"/>
              <w:right w:val="nil"/>
            </w:tcBorders>
          </w:tcPr>
          <w:p w:rsidR="000A7928" w:rsidRPr="00245374" w:rsidRDefault="00801EB0" w:rsidP="004D7F77">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0A7928" w:rsidRPr="00245374">
              <w:rPr>
                <w:rFonts w:asciiTheme="minorHAnsi" w:hAnsiTheme="minorHAnsi" w:cstheme="minorHAnsi"/>
                <w:sz w:val="14"/>
                <w:szCs w:val="24"/>
                <w:lang w:eastAsia="fr-FR"/>
              </w:rPr>
              <w:t>-DGESI</w:t>
            </w:r>
            <w:r w:rsidR="004D7F77" w:rsidRPr="00245374">
              <w:rPr>
                <w:rFonts w:asciiTheme="minorHAnsi" w:hAnsiTheme="minorHAnsi" w:cstheme="minorHAnsi"/>
                <w:sz w:val="14"/>
                <w:szCs w:val="24"/>
                <w:lang w:eastAsia="fr-FR"/>
              </w:rPr>
              <w:t>P/DGRI-SIES</w:t>
            </w:r>
          </w:p>
        </w:tc>
        <w:tc>
          <w:tcPr>
            <w:tcW w:w="8505" w:type="dxa"/>
            <w:tcBorders>
              <w:top w:val="nil"/>
              <w:left w:val="nil"/>
              <w:bottom w:val="nil"/>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 xml:space="preserve">Inscriptions principales dans les formations de </w:t>
            </w:r>
            <w:r w:rsidR="00F46E9C">
              <w:rPr>
                <w:rFonts w:asciiTheme="minorHAnsi" w:hAnsiTheme="minorHAnsi" w:cstheme="minorHAnsi"/>
                <w:sz w:val="14"/>
                <w:szCs w:val="24"/>
                <w:lang w:eastAsia="fr-FR"/>
              </w:rPr>
              <w:t xml:space="preserve">BUT, </w:t>
            </w:r>
            <w:r w:rsidRPr="00245374">
              <w:rPr>
                <w:rFonts w:asciiTheme="minorHAnsi" w:hAnsiTheme="minorHAnsi" w:cstheme="minorHAnsi"/>
                <w:sz w:val="14"/>
                <w:szCs w:val="24"/>
                <w:lang w:eastAsia="fr-FR"/>
              </w:rPr>
              <w:t xml:space="preserve">DUT, post-DUT ou DNTS.  </w:t>
            </w:r>
          </w:p>
        </w:tc>
      </w:tr>
      <w:tr w:rsidR="00B24530" w:rsidRPr="00245374" w:rsidTr="00A4729F">
        <w:trPr>
          <w:trHeight w:val="561"/>
        </w:trPr>
        <w:tc>
          <w:tcPr>
            <w:tcW w:w="2157" w:type="dxa"/>
            <w:tcBorders>
              <w:top w:val="nil"/>
              <w:left w:val="nil"/>
              <w:bottom w:val="nil"/>
              <w:right w:val="nil"/>
            </w:tcBorders>
          </w:tcPr>
          <w:p w:rsidR="00B24530" w:rsidRPr="00245374" w:rsidRDefault="00A4729F" w:rsidP="009E27D2">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Formations d'ESPE et INSPE</w:t>
            </w:r>
          </w:p>
        </w:tc>
        <w:tc>
          <w:tcPr>
            <w:tcW w:w="3260" w:type="dxa"/>
            <w:tcBorders>
              <w:top w:val="nil"/>
              <w:left w:val="nil"/>
              <w:bottom w:val="nil"/>
              <w:right w:val="nil"/>
            </w:tcBorders>
          </w:tcPr>
          <w:p w:rsidR="00B24530" w:rsidRPr="00245374" w:rsidRDefault="00801EB0" w:rsidP="009E27D2">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B24530" w:rsidRPr="00245374">
              <w:rPr>
                <w:rFonts w:asciiTheme="minorHAnsi" w:hAnsiTheme="minorHAnsi" w:cstheme="minorHAnsi"/>
                <w:sz w:val="14"/>
                <w:szCs w:val="24"/>
                <w:lang w:eastAsia="fr-FR"/>
              </w:rPr>
              <w:t>-DGESIP/DGRI-SIES</w:t>
            </w:r>
          </w:p>
        </w:tc>
        <w:tc>
          <w:tcPr>
            <w:tcW w:w="8505" w:type="dxa"/>
            <w:tcBorders>
              <w:top w:val="nil"/>
              <w:left w:val="nil"/>
              <w:bottom w:val="nil"/>
              <w:right w:val="nil"/>
            </w:tcBorders>
          </w:tcPr>
          <w:p w:rsidR="00B24530" w:rsidRPr="00245374" w:rsidRDefault="00B24530" w:rsidP="00A4729F">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Inscriptions principales dans les master MEEF dans les Écoles supérieures du profe</w:t>
            </w:r>
            <w:r w:rsidR="00A4729F">
              <w:rPr>
                <w:rFonts w:asciiTheme="minorHAnsi" w:hAnsiTheme="minorHAnsi" w:cstheme="minorHAnsi"/>
                <w:sz w:val="14"/>
                <w:szCs w:val="24"/>
                <w:lang w:eastAsia="fr-FR"/>
              </w:rPr>
              <w:t>ssorat et de l'éducation (ESPE) et les Instituts</w:t>
            </w:r>
            <w:r w:rsidR="00A4729F" w:rsidRPr="00245374">
              <w:rPr>
                <w:rFonts w:asciiTheme="minorHAnsi" w:hAnsiTheme="minorHAnsi" w:cstheme="minorHAnsi"/>
                <w:sz w:val="14"/>
                <w:szCs w:val="24"/>
                <w:lang w:eastAsia="fr-FR"/>
              </w:rPr>
              <w:t xml:space="preserve"> supérieures du professorat et de l'éducation (</w:t>
            </w:r>
            <w:r w:rsidR="00A4729F">
              <w:rPr>
                <w:rFonts w:asciiTheme="minorHAnsi" w:hAnsiTheme="minorHAnsi" w:cstheme="minorHAnsi"/>
                <w:sz w:val="14"/>
                <w:szCs w:val="24"/>
                <w:lang w:eastAsia="fr-FR"/>
              </w:rPr>
              <w:t>IN</w:t>
            </w:r>
            <w:r w:rsidR="00A4729F" w:rsidRPr="00245374">
              <w:rPr>
                <w:rFonts w:asciiTheme="minorHAnsi" w:hAnsiTheme="minorHAnsi" w:cstheme="minorHAnsi"/>
                <w:sz w:val="14"/>
                <w:szCs w:val="24"/>
                <w:lang w:eastAsia="fr-FR"/>
              </w:rPr>
              <w:t>SPE)</w:t>
            </w:r>
            <w:r w:rsidR="00A4729F">
              <w:rPr>
                <w:rFonts w:asciiTheme="minorHAnsi" w:hAnsiTheme="minorHAnsi" w:cstheme="minorHAnsi"/>
                <w:sz w:val="14"/>
                <w:szCs w:val="24"/>
                <w:lang w:eastAsia="fr-FR"/>
              </w:rPr>
              <w:t>.</w:t>
            </w:r>
          </w:p>
        </w:tc>
      </w:tr>
      <w:tr w:rsidR="00A4729F" w:rsidRPr="00245374" w:rsidTr="00A4729F">
        <w:trPr>
          <w:trHeight w:val="277"/>
        </w:trPr>
        <w:tc>
          <w:tcPr>
            <w:tcW w:w="2157" w:type="dxa"/>
            <w:tcBorders>
              <w:top w:val="nil"/>
              <w:left w:val="nil"/>
              <w:bottom w:val="single" w:sz="2" w:space="0" w:color="000000"/>
              <w:right w:val="nil"/>
            </w:tcBorders>
          </w:tcPr>
          <w:p w:rsidR="00A4729F" w:rsidRDefault="00A4729F" w:rsidP="009E27D2">
            <w:pPr>
              <w:pStyle w:val="Standard"/>
              <w:spacing w:before="60" w:after="60" w:line="200" w:lineRule="atLeast"/>
              <w:rPr>
                <w:rFonts w:asciiTheme="minorHAnsi" w:hAnsiTheme="minorHAnsi" w:cstheme="minorHAnsi"/>
                <w:sz w:val="14"/>
                <w:szCs w:val="24"/>
                <w:lang w:eastAsia="fr-FR"/>
              </w:rPr>
            </w:pPr>
            <w:r w:rsidRPr="00A4729F">
              <w:rPr>
                <w:rFonts w:asciiTheme="minorHAnsi" w:hAnsiTheme="minorHAnsi" w:cstheme="minorHAnsi"/>
                <w:sz w:val="14"/>
                <w:szCs w:val="24"/>
                <w:lang w:eastAsia="fr-FR"/>
              </w:rPr>
              <w:t>Universités à statuts expérimentaux</w:t>
            </w:r>
          </w:p>
        </w:tc>
        <w:tc>
          <w:tcPr>
            <w:tcW w:w="3260" w:type="dxa"/>
            <w:tcBorders>
              <w:top w:val="nil"/>
              <w:left w:val="nil"/>
              <w:bottom w:val="single" w:sz="2" w:space="0" w:color="000000"/>
              <w:right w:val="nil"/>
            </w:tcBorders>
          </w:tcPr>
          <w:p w:rsidR="00A4729F" w:rsidRPr="00245374" w:rsidRDefault="00A4729F" w:rsidP="009E27D2">
            <w:pPr>
              <w:pStyle w:val="Standard"/>
              <w:spacing w:before="60" w:after="60" w:line="200" w:lineRule="atLeast"/>
              <w:rPr>
                <w:rFonts w:asciiTheme="minorHAnsi" w:hAnsiTheme="minorHAnsi" w:cstheme="minorHAnsi"/>
                <w:sz w:val="14"/>
                <w:szCs w:val="24"/>
                <w:lang w:eastAsia="fr-FR"/>
              </w:rPr>
            </w:pPr>
          </w:p>
        </w:tc>
        <w:tc>
          <w:tcPr>
            <w:tcW w:w="8505" w:type="dxa"/>
            <w:tcBorders>
              <w:top w:val="nil"/>
              <w:left w:val="nil"/>
              <w:bottom w:val="single" w:sz="2" w:space="0" w:color="000000"/>
              <w:right w:val="nil"/>
            </w:tcBorders>
          </w:tcPr>
          <w:p w:rsidR="00A4729F" w:rsidRPr="00245374" w:rsidRDefault="00A4729F" w:rsidP="0061504A">
            <w:pPr>
              <w:pStyle w:val="Standard"/>
              <w:spacing w:before="60" w:after="60" w:line="200" w:lineRule="atLeast"/>
              <w:rPr>
                <w:rFonts w:asciiTheme="minorHAnsi" w:hAnsiTheme="minorHAnsi" w:cstheme="minorHAnsi"/>
                <w:sz w:val="14"/>
                <w:szCs w:val="24"/>
                <w:lang w:eastAsia="fr-FR"/>
              </w:rPr>
            </w:pPr>
            <w:r w:rsidRPr="00A4729F">
              <w:rPr>
                <w:rFonts w:asciiTheme="minorHAnsi" w:hAnsiTheme="minorHAnsi" w:cstheme="minorHAnsi"/>
                <w:sz w:val="14"/>
                <w:szCs w:val="24"/>
                <w:lang w:eastAsia="fr-FR"/>
              </w:rPr>
              <w:t xml:space="preserve">Ensemble des </w:t>
            </w:r>
            <w:r w:rsidR="00F46E9C">
              <w:rPr>
                <w:rFonts w:asciiTheme="minorHAnsi" w:hAnsiTheme="minorHAnsi" w:cstheme="minorHAnsi"/>
                <w:sz w:val="14"/>
                <w:szCs w:val="24"/>
                <w:lang w:eastAsia="fr-FR"/>
              </w:rPr>
              <w:t>1</w:t>
            </w:r>
            <w:r w:rsidR="00496241">
              <w:rPr>
                <w:rFonts w:asciiTheme="minorHAnsi" w:hAnsiTheme="minorHAnsi" w:cstheme="minorHAnsi"/>
                <w:sz w:val="14"/>
                <w:szCs w:val="24"/>
                <w:lang w:eastAsia="fr-FR"/>
              </w:rPr>
              <w:t>5</w:t>
            </w:r>
            <w:r w:rsidRPr="00A4729F">
              <w:rPr>
                <w:rFonts w:asciiTheme="minorHAnsi" w:hAnsiTheme="minorHAnsi" w:cstheme="minorHAnsi"/>
                <w:sz w:val="14"/>
                <w:szCs w:val="24"/>
                <w:lang w:eastAsia="fr-FR"/>
              </w:rPr>
              <w:t xml:space="preserve"> nouvelles universités qui regroupe</w:t>
            </w:r>
            <w:r w:rsidR="00F46E9C">
              <w:rPr>
                <w:rFonts w:asciiTheme="minorHAnsi" w:hAnsiTheme="minorHAnsi" w:cstheme="minorHAnsi"/>
                <w:sz w:val="14"/>
                <w:szCs w:val="24"/>
                <w:lang w:eastAsia="fr-FR"/>
              </w:rPr>
              <w:t>nt</w:t>
            </w:r>
            <w:r w:rsidRPr="00A4729F">
              <w:rPr>
                <w:rFonts w:asciiTheme="minorHAnsi" w:hAnsiTheme="minorHAnsi" w:cstheme="minorHAnsi"/>
                <w:sz w:val="14"/>
                <w:szCs w:val="24"/>
                <w:lang w:eastAsia="fr-FR"/>
              </w:rPr>
              <w:t xml:space="preserve"> ou fusionne</w:t>
            </w:r>
            <w:r w:rsidR="00F46E9C">
              <w:rPr>
                <w:rFonts w:asciiTheme="minorHAnsi" w:hAnsiTheme="minorHAnsi" w:cstheme="minorHAnsi"/>
                <w:sz w:val="14"/>
                <w:szCs w:val="24"/>
                <w:lang w:eastAsia="fr-FR"/>
              </w:rPr>
              <w:t>nt</w:t>
            </w:r>
            <w:r w:rsidRPr="00A4729F">
              <w:rPr>
                <w:rFonts w:asciiTheme="minorHAnsi" w:hAnsiTheme="minorHAnsi" w:cstheme="minorHAnsi"/>
                <w:sz w:val="14"/>
                <w:szCs w:val="24"/>
                <w:lang w:eastAsia="fr-FR"/>
              </w:rPr>
              <w:t xml:space="preserve"> des établissements d’enseignement supérieur et de recherche publics et privés et qui expérimente de nouveaux modes d’organisation et de</w:t>
            </w:r>
            <w:r>
              <w:rPr>
                <w:rFonts w:asciiTheme="minorHAnsi" w:hAnsiTheme="minorHAnsi" w:cstheme="minorHAnsi"/>
                <w:sz w:val="14"/>
                <w:szCs w:val="24"/>
                <w:lang w:eastAsia="fr-FR"/>
              </w:rPr>
              <w:t xml:space="preserve"> </w:t>
            </w:r>
            <w:r w:rsidRPr="00A4729F">
              <w:rPr>
                <w:rFonts w:asciiTheme="minorHAnsi" w:hAnsiTheme="minorHAnsi" w:cstheme="minorHAnsi"/>
                <w:sz w:val="14"/>
                <w:szCs w:val="24"/>
                <w:lang w:eastAsia="fr-FR"/>
              </w:rPr>
              <w:t xml:space="preserve">fonctionnement, afin de réaliser un projet partagé d’enseignement supérieur et de recherche défini par les établissements qu’il regroupe : </w:t>
            </w:r>
            <w:r w:rsidR="00F46E9C" w:rsidRPr="00F46E9C">
              <w:rPr>
                <w:rFonts w:asciiTheme="minorHAnsi" w:hAnsiTheme="minorHAnsi" w:cstheme="minorHAnsi"/>
                <w:sz w:val="14"/>
                <w:szCs w:val="24"/>
                <w:lang w:eastAsia="fr-FR"/>
              </w:rPr>
              <w:t xml:space="preserve">CY Cergy Paris Université, Nantes Université, Université Clermont Auvergne, Université Côte d'Azur, Université de Lille, Université de Montpellier, Université Grenoble Alpes, Université Gustave Eiffel, Université Paris Cité, </w:t>
            </w:r>
            <w:r w:rsidR="00496241">
              <w:rPr>
                <w:rFonts w:asciiTheme="minorHAnsi" w:hAnsiTheme="minorHAnsi" w:cstheme="minorHAnsi"/>
                <w:sz w:val="14"/>
                <w:szCs w:val="24"/>
                <w:lang w:eastAsia="fr-FR"/>
              </w:rPr>
              <w:t>Université de Rennes, Université Toulouse Capitol</w:t>
            </w:r>
            <w:r w:rsidR="00F46E9C" w:rsidRPr="00F46E9C">
              <w:rPr>
                <w:rFonts w:asciiTheme="minorHAnsi" w:hAnsiTheme="minorHAnsi" w:cstheme="minorHAnsi"/>
                <w:sz w:val="14"/>
                <w:szCs w:val="24"/>
                <w:lang w:eastAsia="fr-FR"/>
              </w:rPr>
              <w:t>, Université Paris-Panthéon-Assas, Université Paris-Saclay, Université Polytechnique Hauts-de-</w:t>
            </w:r>
            <w:r w:rsidR="00F46E9C">
              <w:rPr>
                <w:rFonts w:asciiTheme="minorHAnsi" w:hAnsiTheme="minorHAnsi" w:cstheme="minorHAnsi"/>
                <w:sz w:val="14"/>
                <w:szCs w:val="24"/>
                <w:lang w:eastAsia="fr-FR"/>
              </w:rPr>
              <w:t>France.</w:t>
            </w:r>
            <w:r w:rsidR="00496241">
              <w:rPr>
                <w:rFonts w:asciiTheme="minorHAnsi" w:hAnsiTheme="minorHAnsi" w:cstheme="minorHAnsi"/>
                <w:sz w:val="14"/>
                <w:szCs w:val="24"/>
                <w:lang w:eastAsia="fr-FR"/>
              </w:rPr>
              <w:t xml:space="preserve"> L’</w:t>
            </w:r>
            <w:r w:rsidR="00496241" w:rsidRPr="00F46E9C">
              <w:rPr>
                <w:rFonts w:asciiTheme="minorHAnsi" w:hAnsiTheme="minorHAnsi" w:cstheme="minorHAnsi"/>
                <w:sz w:val="14"/>
                <w:szCs w:val="24"/>
                <w:lang w:eastAsia="fr-FR"/>
              </w:rPr>
              <w:t>Université Paris sciences et lettres</w:t>
            </w:r>
            <w:r w:rsidR="0061504A">
              <w:rPr>
                <w:rFonts w:asciiTheme="minorHAnsi" w:hAnsiTheme="minorHAnsi" w:cstheme="minorHAnsi"/>
                <w:sz w:val="14"/>
                <w:szCs w:val="24"/>
                <w:lang w:eastAsia="fr-FR"/>
              </w:rPr>
              <w:t xml:space="preserve"> (2023) et l’</w:t>
            </w:r>
            <w:r w:rsidR="0061504A" w:rsidRPr="00F46E9C">
              <w:rPr>
                <w:rFonts w:asciiTheme="minorHAnsi" w:hAnsiTheme="minorHAnsi" w:cstheme="minorHAnsi"/>
                <w:sz w:val="14"/>
                <w:szCs w:val="24"/>
                <w:lang w:eastAsia="fr-FR"/>
              </w:rPr>
              <w:t>Université Grenoble Alpes</w:t>
            </w:r>
            <w:r w:rsidR="0061504A">
              <w:rPr>
                <w:rFonts w:asciiTheme="minorHAnsi" w:hAnsiTheme="minorHAnsi" w:cstheme="minorHAnsi"/>
                <w:sz w:val="14"/>
                <w:szCs w:val="24"/>
                <w:lang w:eastAsia="fr-FR"/>
              </w:rPr>
              <w:t xml:space="preserve"> (2024) ont</w:t>
            </w:r>
            <w:r w:rsidR="00496241">
              <w:rPr>
                <w:rFonts w:asciiTheme="minorHAnsi" w:hAnsiTheme="minorHAnsi" w:cstheme="minorHAnsi"/>
                <w:sz w:val="14"/>
                <w:szCs w:val="24"/>
                <w:lang w:eastAsia="fr-FR"/>
              </w:rPr>
              <w:t xml:space="preserve"> </w:t>
            </w:r>
            <w:r w:rsidR="0061504A">
              <w:rPr>
                <w:rFonts w:asciiTheme="minorHAnsi" w:hAnsiTheme="minorHAnsi" w:cstheme="minorHAnsi"/>
                <w:sz w:val="14"/>
                <w:szCs w:val="24"/>
                <w:lang w:eastAsia="fr-FR"/>
              </w:rPr>
              <w:t>désormais</w:t>
            </w:r>
            <w:r w:rsidR="00496241">
              <w:rPr>
                <w:rFonts w:asciiTheme="minorHAnsi" w:hAnsiTheme="minorHAnsi" w:cstheme="minorHAnsi"/>
                <w:sz w:val="14"/>
                <w:szCs w:val="24"/>
                <w:lang w:eastAsia="fr-FR"/>
              </w:rPr>
              <w:t xml:space="preserve"> un statut de grand établissement.</w:t>
            </w:r>
          </w:p>
        </w:tc>
      </w:tr>
    </w:tbl>
    <w:p w:rsidR="000A7928" w:rsidRPr="00245374" w:rsidRDefault="000A7928">
      <w:pPr>
        <w:pStyle w:val="Standard"/>
        <w:rPr>
          <w:rFonts w:asciiTheme="minorHAnsi" w:hAnsiTheme="minorHAnsi" w:cstheme="minorHAnsi"/>
          <w:sz w:val="2"/>
          <w:szCs w:val="2"/>
        </w:rPr>
      </w:pPr>
    </w:p>
    <w:sectPr w:rsidR="000A7928" w:rsidRPr="00245374" w:rsidSect="00A4729F">
      <w:pgSz w:w="16838" w:h="11906"/>
      <w:pgMar w:top="567" w:right="1418" w:bottom="568" w:left="1418"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56EB8"/>
    <w:multiLevelType w:val="hybridMultilevel"/>
    <w:tmpl w:val="17440C80"/>
    <w:lvl w:ilvl="0" w:tplc="D296557E">
      <w:start w:val="2"/>
      <w:numFmt w:val="bullet"/>
      <w:lvlText w:val=""/>
      <w:lvlJc w:val="left"/>
      <w:pPr>
        <w:ind w:left="720" w:hanging="360"/>
      </w:pPr>
      <w:rPr>
        <w:rFonts w:ascii="Symbol" w:eastAsiaTheme="minorEastAsia"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E8249E"/>
    <w:multiLevelType w:val="hybridMultilevel"/>
    <w:tmpl w:val="9E2A3DA4"/>
    <w:lvl w:ilvl="0" w:tplc="9944470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6495D79"/>
    <w:multiLevelType w:val="hybridMultilevel"/>
    <w:tmpl w:val="6010B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F77"/>
    <w:rsid w:val="00005B9B"/>
    <w:rsid w:val="000125C8"/>
    <w:rsid w:val="000A7928"/>
    <w:rsid w:val="000E179F"/>
    <w:rsid w:val="000E728B"/>
    <w:rsid w:val="000F21BC"/>
    <w:rsid w:val="00117BE3"/>
    <w:rsid w:val="00153E5D"/>
    <w:rsid w:val="00245374"/>
    <w:rsid w:val="002C3317"/>
    <w:rsid w:val="00322F03"/>
    <w:rsid w:val="0034541B"/>
    <w:rsid w:val="00367B55"/>
    <w:rsid w:val="003765C2"/>
    <w:rsid w:val="00417FB0"/>
    <w:rsid w:val="00431FE7"/>
    <w:rsid w:val="00450EDE"/>
    <w:rsid w:val="00463073"/>
    <w:rsid w:val="00472812"/>
    <w:rsid w:val="00496241"/>
    <w:rsid w:val="004B3DF5"/>
    <w:rsid w:val="004D7F77"/>
    <w:rsid w:val="004E26D0"/>
    <w:rsid w:val="005035D9"/>
    <w:rsid w:val="005B0668"/>
    <w:rsid w:val="0061504A"/>
    <w:rsid w:val="006C3182"/>
    <w:rsid w:val="007412D0"/>
    <w:rsid w:val="007B3C44"/>
    <w:rsid w:val="007F3EFF"/>
    <w:rsid w:val="00801EB0"/>
    <w:rsid w:val="0083067B"/>
    <w:rsid w:val="00873E53"/>
    <w:rsid w:val="00896370"/>
    <w:rsid w:val="0097526B"/>
    <w:rsid w:val="00984872"/>
    <w:rsid w:val="00A10981"/>
    <w:rsid w:val="00A279E6"/>
    <w:rsid w:val="00A4729F"/>
    <w:rsid w:val="00A70893"/>
    <w:rsid w:val="00A87776"/>
    <w:rsid w:val="00B24530"/>
    <w:rsid w:val="00B32A5B"/>
    <w:rsid w:val="00B75E42"/>
    <w:rsid w:val="00BA21D5"/>
    <w:rsid w:val="00BA3E5D"/>
    <w:rsid w:val="00C56EA1"/>
    <w:rsid w:val="00C844F3"/>
    <w:rsid w:val="00CE2632"/>
    <w:rsid w:val="00D360AA"/>
    <w:rsid w:val="00D843F3"/>
    <w:rsid w:val="00DF478D"/>
    <w:rsid w:val="00E12B2D"/>
    <w:rsid w:val="00E43CB6"/>
    <w:rsid w:val="00E455B7"/>
    <w:rsid w:val="00F46E9C"/>
    <w:rsid w:val="00F650B3"/>
    <w:rsid w:val="00FB3F45"/>
    <w:rsid w:val="00FD7C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24F35D"/>
  <w14:defaultImageDpi w14:val="0"/>
  <w15:docId w15:val="{7A0654C1-7A2C-4243-95A6-02D16864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w:semiHidden="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val="0"/>
      <w:autoSpaceDN w:val="0"/>
      <w:adjustRightInd w:val="0"/>
    </w:pPr>
    <w:rPr>
      <w:rFonts w:ascii="Calibri" w:hAnsi="Calibri" w:cs="Calibri"/>
      <w:lang w:eastAsia="en-US"/>
    </w:rPr>
  </w:style>
  <w:style w:type="character" w:customStyle="1" w:styleId="LienInternet">
    <w:name w:val="Lien Internet"/>
    <w:basedOn w:val="Policepardfaut"/>
    <w:uiPriority w:val="99"/>
    <w:rPr>
      <w:rFonts w:eastAsia="Times New Roman" w:cs="Times New Roman"/>
      <w:color w:val="0000FF"/>
      <w:u w:val="single"/>
    </w:rPr>
  </w:style>
  <w:style w:type="paragraph" w:styleId="Titre">
    <w:name w:val="Title"/>
    <w:basedOn w:val="Standard"/>
    <w:next w:val="Corpsdetexte"/>
    <w:link w:val="TitreCar"/>
    <w:uiPriority w:val="99"/>
    <w:qFormat/>
    <w:pPr>
      <w:keepNext/>
      <w:spacing w:before="240" w:after="120"/>
    </w:pPr>
    <w:rPr>
      <w:rFonts w:ascii="Arial" w:eastAsia="Times New Roman" w:hAnsi="Microsoft YaHei" w:cs="Arial"/>
      <w:sz w:val="28"/>
      <w:szCs w:val="28"/>
    </w:rPr>
  </w:style>
  <w:style w:type="character" w:customStyle="1" w:styleId="TitreCar">
    <w:name w:val="Titre Car"/>
    <w:basedOn w:val="Policepardfaut"/>
    <w:link w:val="Titre"/>
    <w:uiPriority w:val="10"/>
    <w:locked/>
    <w:rPr>
      <w:rFonts w:asciiTheme="majorHAnsi" w:eastAsiaTheme="majorEastAsia" w:hAnsiTheme="majorHAnsi" w:cs="Times New Roman"/>
      <w:b/>
      <w:bCs/>
      <w:kern w:val="28"/>
      <w:sz w:val="32"/>
      <w:szCs w:val="32"/>
    </w:rPr>
  </w:style>
  <w:style w:type="paragraph" w:styleId="Corpsdetexte">
    <w:name w:val="Body Text"/>
    <w:basedOn w:val="Standard"/>
    <w:link w:val="CorpsdetexteCar"/>
    <w:uiPriority w:val="99"/>
    <w:pPr>
      <w:spacing w:after="120"/>
    </w:pPr>
  </w:style>
  <w:style w:type="character" w:customStyle="1" w:styleId="CorpsdetexteCar">
    <w:name w:val="Corps de texte Car"/>
    <w:basedOn w:val="Policepardfaut"/>
    <w:link w:val="Corpsdetexte"/>
    <w:uiPriority w:val="99"/>
    <w:semiHidden/>
    <w:locked/>
    <w:rPr>
      <w:rFonts w:cs="Times New Roman"/>
    </w:rPr>
  </w:style>
  <w:style w:type="paragraph" w:styleId="Liste">
    <w:name w:val="List"/>
    <w:basedOn w:val="Corpsdetexte"/>
    <w:uiPriority w:val="99"/>
  </w:style>
  <w:style w:type="paragraph" w:customStyle="1" w:styleId="Lende">
    <w:name w:val="L馮ende"/>
    <w:basedOn w:val="Standard"/>
    <w:uiPriority w:val="99"/>
    <w:pPr>
      <w:suppressLineNumbers/>
      <w:spacing w:before="120" w:after="120"/>
    </w:pPr>
    <w:rPr>
      <w:i/>
      <w:iCs/>
      <w:sz w:val="24"/>
      <w:szCs w:val="24"/>
    </w:rPr>
  </w:style>
  <w:style w:type="paragraph" w:customStyle="1" w:styleId="Index">
    <w:name w:val="Index"/>
    <w:basedOn w:val="Standard"/>
    <w:uiPriority w:val="99"/>
    <w:pPr>
      <w:suppressLineNumbers/>
    </w:pPr>
  </w:style>
  <w:style w:type="paragraph" w:customStyle="1" w:styleId="Contenudetableau">
    <w:name w:val="Contenu de tableau"/>
    <w:basedOn w:val="Standard"/>
    <w:uiPriority w:val="99"/>
    <w:pPr>
      <w:suppressLineNumbers/>
    </w:pPr>
  </w:style>
  <w:style w:type="paragraph" w:customStyle="1" w:styleId="Titredetableau">
    <w:name w:val="Titre de tableau"/>
    <w:basedOn w:val="Contenudetableau"/>
    <w:uiPriority w:val="99"/>
    <w:pPr>
      <w:jc w:val="center"/>
    </w:pPr>
    <w:rPr>
      <w:b/>
      <w:bCs/>
    </w:rPr>
  </w:style>
  <w:style w:type="character" w:styleId="Lienhypertexte">
    <w:name w:val="Hyperlink"/>
    <w:basedOn w:val="Policepardfaut"/>
    <w:uiPriority w:val="99"/>
    <w:rsid w:val="00B24530"/>
    <w:rPr>
      <w:color w:val="0000FF" w:themeColor="hyperlink"/>
      <w:u w:val="single"/>
    </w:rPr>
  </w:style>
  <w:style w:type="paragraph" w:styleId="Paragraphedeliste">
    <w:name w:val="List Paragraph"/>
    <w:basedOn w:val="Normal"/>
    <w:uiPriority w:val="34"/>
    <w:qFormat/>
    <w:rsid w:val="00B32A5B"/>
    <w:pPr>
      <w:ind w:left="720"/>
      <w:contextualSpacing/>
    </w:pPr>
  </w:style>
  <w:style w:type="table" w:styleId="Grilledutableau">
    <w:name w:val="Table Grid"/>
    <w:basedOn w:val="TableauNormal"/>
    <w:uiPriority w:val="59"/>
    <w:rsid w:val="00984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67457">
      <w:bodyDiv w:val="1"/>
      <w:marLeft w:val="0"/>
      <w:marRight w:val="0"/>
      <w:marTop w:val="0"/>
      <w:marBottom w:val="0"/>
      <w:divBdr>
        <w:top w:val="none" w:sz="0" w:space="0" w:color="auto"/>
        <w:left w:val="none" w:sz="0" w:space="0" w:color="auto"/>
        <w:bottom w:val="none" w:sz="0" w:space="0" w:color="auto"/>
        <w:right w:val="none" w:sz="0" w:space="0" w:color="auto"/>
      </w:divBdr>
    </w:div>
    <w:div w:id="86560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ee.fr/fr/methodes/nomenclatures/cog/" TargetMode="External"/><Relationship Id="rId5" Type="http://schemas.openxmlformats.org/officeDocument/2006/relationships/hyperlink" Target="https://www.comite-du-secret.fr/wp-content/uploads/2024/03/Avis-Sies-240319.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1759</Words>
  <Characters>9679</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dc:creator>
  <cp:keywords/>
  <dc:description/>
  <cp:lastModifiedBy>HAFSA AALLAT</cp:lastModifiedBy>
  <cp:revision>13</cp:revision>
  <dcterms:created xsi:type="dcterms:W3CDTF">2024-09-18T14:17:00Z</dcterms:created>
  <dcterms:modified xsi:type="dcterms:W3CDTF">2025-02-11T10:58:00Z</dcterms:modified>
</cp:coreProperties>
</file>